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79"/>
        <w:gridCol w:w="4099"/>
      </w:tblGrid>
      <w:tr w:rsidR="009E1682" w:rsidRPr="009E1682" w:rsidTr="009E168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SCHEDA TECNICA PRELIMINARE</w:t>
            </w:r>
            <w:r w:rsidR="002A781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– LOTTO 2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DATI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Apparecchiatura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Produttore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Modello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Fornitore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Anno di inizio produzione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Data di costruzione della macchina offerta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Sta</w:t>
            </w:r>
            <w:r w:rsidR="00000188">
              <w:rPr>
                <w:rFonts w:eastAsia="Times New Roman" w:cs="Times New Roman"/>
                <w:color w:val="000000"/>
                <w:lang w:eastAsia="it-IT"/>
              </w:rPr>
              <w:t>t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t>o di provenienza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Codice CIVAB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Codice CND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NORMATIVE E CONFORMITA'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9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L’apparecchio è conforme alla normativa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C.E.I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62.5 Norma Europea EN 60601 – 1 attualmente vigente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9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L’apparecchio è conforme alla normativa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C.E.I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66.5 Norma Europea EN 61010 – 1 attualmente vigente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La conformità indicata ai precedenti punti risulta attestata: 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da marcatura CE 2007/47 “dispositivi medici”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da marcatura CE con riferimento ad altra direttiva/regolamento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Manuali d'uso in italiano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88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5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CARATTERISTICHE TECNICHE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58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SISTEMA </w:t>
            </w:r>
            <w:proofErr w:type="spellStart"/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PREANALITICA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424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1) Area di ingresso e uscita liberamente configurabile con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standard,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per analizzatori, bascule da centrifuga e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di archivio. Dettagliare come la caratteristica richiesta sia garantita in tutti i Laboratori dell’ASST.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26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2) Valutazione della congruenza della richiesta rispetto al tipo di provetta identificata (colore del tappo). 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La caratteristica è richiesta per tutti i laboratori dell’ASST.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406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3) Possibilità di eseguire check-out e archiviazione delle provette. 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La caratteristica è richiesta per tutti i Laboratori dell’ASST.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23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4) Produttività campioni ora per check-in,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stappatura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e ordinamento su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dedicati per il Laboratorio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Vizzolo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Predabissi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882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5) Per i Laboratori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Cernusco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sul Naviglio e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Melzo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si richiede il minor ingombro strumentale in relazione alla produttività.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58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SISTEMI ANALITICI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57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1) Massima disponibilità dei test opzionali.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82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2) Massimo consolidamento dei test richiesti come obbligatori sullo stesso strumento.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09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3) Gestione automatica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re-run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e reflex test senza necessità di ulteriore   manipolazione della provetta (dettagliare).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94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4) Presenza di accorgimenti tecnologici atti a ridurre/eliminare il rischio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carry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over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nei dosaggi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immunometrici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>. Dettagliare.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26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5) Presenza di accorgimenti tecnologici atti a ridurre/eliminare il rischio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carry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over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nei dosaggi di chimica. Dettagliare.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1118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6) Possibilità di calibrazione automatica della chimica clinica al cambio di lotto   per almeno il 50%   dei test: dettagliare le modalità.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1009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7) Ridotta necessità di manutenzione giornaliera da parte degli operatori per gli analizzatori offerti (dettagliare).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2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8) Modalità di assistenza tecnica e applicativo tramite accesso remoto. Dettagliare.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1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REAGENTI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2112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1) Reagenti pronti all'uso e pronti al caricamento che non richiedono alcuna manipolazione preventiva (compresa agitazione,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stappatura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, tempi di attesa) prima di essere caricati sulla strumentazione, come riportato in metodica. 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Dettagliare il numero e la tipologia di metodiche pronte all'uso sulla base dei test richiesti come obbligatori.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1261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2) Disponibilità di confezionamenti di dimensioni differenti in base alla tipologia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analita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e alla produttività del Laboratorio.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1137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3) Interscambiabilità dei reagenti tra i diversi Laboratori dell'ASST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41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4) Utilizzo di anticorpi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Centocor-Fujirebio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per  Ca 15-3, Ca 19-9, Ca 125 e altri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mucinici</w:t>
            </w:r>
            <w:proofErr w:type="spellEnd"/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09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5) Tempo al primo risultato in minuti per i test cardiaci (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e peptidi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natriuretici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>) con riferimento al valore riportato in metodica.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54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6) Minimo volume richiesto di campione al netto del volume morto per eseguire un profilo di esami di urgenza CARDIACI: CK-MB, TROP, peptide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Natriuretico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2023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7) Dosaggio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conforme alla definizione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ultrasensibile riportata nelle linee guida IFCC 2015 (*): CV inferiore al 10% al 99mo percentile del URL e misura della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al di sopra del limite di rilevazione (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LoD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) in almeno il 50% dei soggetti sani. Riportate su IFU.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1826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8) Migliore stabilità dei reagenti di immunochimica a bordo (dettagliare per ogni metodica, considerando per il pannello tumorale i test CA-125, CEA, CA 19-9 e per il pannello tiroideo i test TSH, FT3 e FT4, a titolo di pannelli “campione”).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1124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9) Possibilità di utilizzo di curva master di calibrazione lotto specifica per l’immunochimica.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75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10) Aggiornamento (e download) delle metodiche mediante sistema di connessione via internet.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978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11) Confezioni reagenti con RFID per maggior sicurezza e tracciabilità.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996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lastRenderedPageBreak/>
              <w:t>12) Indici del siero test specifici.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94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SERVIZIO </w:t>
            </w:r>
            <w:proofErr w:type="spellStart"/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ASSISTENZA, MANUTENZIONE, FORMAZIONE/ADDESTRAMENTO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3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1) Caratteristiche del servizio di Assistenza Tecnica (Descrivere).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44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2) Caratteristiche del programma di formazione/addestramento sia del personale tecnico sia del personale dirigente (Descrivere)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3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SOFTWARE GESTIONALE </w:t>
            </w:r>
            <w:proofErr w:type="spellStart"/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MAGAZZINO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11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1) Piattaforma in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cloud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certificata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AgID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51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2) Gestione dei reagenti anche di parti terze tramite RFID e/o varie tipologie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barcode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(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QR-code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, Data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matrix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code 128, etc.). Dettagliare.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15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PROGETTO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CC12ED">
        <w:trPr>
          <w:trHeight w:val="2107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1) Descrizione delle modalità e delle tempistiche con cui verranno sostituite le attrezzature esistenti con quelle oggetto di fornitura, in particolare esplicitando le modalità atte a garantire l’operatività dei laboratori, ed eventuali opere necessarie per l’installazione, nonché la relativa tempistica. (Relazionare).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4359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2) Progetto complessivo rispetto agli obiettivi richiesti. 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E’ richiesta la presentazione di un solo progetto (non sono ammesse proposte alternative)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In particolare saranno valutati: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 xml:space="preserve">o adattabilità degli strumenti offerti agli spazi attualmente disponibili; 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 xml:space="preserve">o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riadattabilità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degli stessi in loco in base a mutate esigenze per i Laboratori dell’ASST, in particolare per il Laboratorio di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Vizzolo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Predabissi, con possibilità di espandere facilmente le potenzialità analitiche;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o omogeneità della fornitura per i tre Laboratori dell’ASST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br/>
              <w:t>o aspetti progettuali migliorativi.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CARATTERISTICHE IMPIANTISTICHE E INSTALLAZIONE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Dimensioni (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lxpxh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>) in cm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Trasportabilità sistema (se si descrivere)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Alimentazione elettrica (monofase, trifase)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Potenza elettrica assorbita in stand-by e in funzionamento (kW)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9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Necessità di continuità dell' alimentazione elettrica e presenza in offerta (gruppo di continuità, stabilizzatore, …)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Classificazione ambiente di installazione (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rif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>: norma CEI 64-8)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Peso totale (kg)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3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Distribuzione del carico (kg/m</w:t>
            </w:r>
            <w:r w:rsidRPr="009E1682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  <w:r w:rsidRPr="009E1682">
              <w:rPr>
                <w:rFonts w:eastAsia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Superficie necessaria all’installazione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Opere murarie/strutturali necessarie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Necessità di particolari condizioni ambientali: temperatura, umidità, aerazione o altro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9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Necessità di particolari condizioni di installazione/funzionamento: bombole, fluidi o altro (descrivere)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9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Protezioni introdotte in caso di mancanza accidentale di alimentazione di rete: riarmo automatico o manuale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Calore disperso nell’ambiente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Esigenza di alimentazione stabilizzata entro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Esigenza di alimentazione ininterrotta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Misure protezionistiche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12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SICUREZZA PRIVACY</w:t>
            </w: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br/>
              <w:t>(descrizione delle misure minime attuate richieste dal codice della privacy,nelle seguenti aree)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Rispondenza al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D.G.P.R.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2016/679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GARANZIA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Durata della garanzia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Fornitura muletto durante il periodo di garanzia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MANUTENZIONE CORRETTIVA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Numero di anni garantiti per la disponibilità dei pezzi di ricambio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Parti Considerate fuori contratto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lastRenderedPageBreak/>
              <w:t>Listino Prezzi delle parti di ricambio e delle parti fuori contratto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Tempo di consegna parti di ricambio in contratto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Tempo di consegna parti di ricambio fuori contratto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Tempo di intervento su chiamata (h lavorative dalla chiamata)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Tempo di risoluzione provvisoria (h giornaliere dall'inizio dell'intervento)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Tempo di risoluzione definitiva (h giornaliere dall'inizio dell'intervento)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Numero di tecnici con esperienza specifica sull’apparecchiatura (Italia)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MANUTENZIONE PREVENTIVA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Manutenzione generale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Controlli di qualità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Verifiche di sicurezza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Sostituzioni parti difettose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Aggiornamento del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sw</w:t>
            </w:r>
            <w:proofErr w:type="spellEnd"/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 in caso di nuove </w:t>
            </w:r>
            <w:proofErr w:type="spellStart"/>
            <w:r w:rsidRPr="009E1682">
              <w:rPr>
                <w:rFonts w:eastAsia="Times New Roman" w:cs="Times New Roman"/>
                <w:color w:val="000000"/>
                <w:lang w:eastAsia="it-IT"/>
              </w:rPr>
              <w:t>release</w:t>
            </w:r>
            <w:proofErr w:type="spellEnd"/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FORMAZIONE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Addestramento del personale medico e tecnico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Addestramento del personale tecnico incaricato dall'azienda della manutenzione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ALTRE CARATTERISTICHE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82" w:rsidRPr="009E1682" w:rsidRDefault="009E1682" w:rsidP="009E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9E1682" w:rsidRPr="009E1682" w:rsidTr="009E1682">
        <w:trPr>
          <w:trHeight w:val="3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Numero delle installazioni in Italia ed Europa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 xml:space="preserve">Indicare le installazioni in ambito regionale (specificare reparto, ospedale, anno vendita)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9E1682" w:rsidRPr="009E1682" w:rsidTr="009E1682">
        <w:trPr>
          <w:trHeight w:val="600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Numero di apparecchiature vendute in Italia ed Europa nell'ultimo anno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82" w:rsidRPr="009E1682" w:rsidRDefault="009E1682" w:rsidP="009E1682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9E168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B92442" w:rsidRDefault="00B92442"/>
    <w:sectPr w:rsidR="00B92442" w:rsidSect="00B92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E1682"/>
    <w:rsid w:val="00000188"/>
    <w:rsid w:val="0005108E"/>
    <w:rsid w:val="002A781D"/>
    <w:rsid w:val="004164CE"/>
    <w:rsid w:val="005412D1"/>
    <w:rsid w:val="00953948"/>
    <w:rsid w:val="009E1558"/>
    <w:rsid w:val="009E1682"/>
    <w:rsid w:val="00B92442"/>
    <w:rsid w:val="00CC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4A34-3BBC-488D-A026-9C6C4D37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chiattisilvia</dc:creator>
  <cp:keywords/>
  <dc:description/>
  <cp:lastModifiedBy>chiattisilvia</cp:lastModifiedBy>
  <cp:revision>5</cp:revision>
  <dcterms:created xsi:type="dcterms:W3CDTF">2022-03-07T14:43:00Z</dcterms:created>
  <dcterms:modified xsi:type="dcterms:W3CDTF">2022-03-07T15:22:00Z</dcterms:modified>
</cp:coreProperties>
</file>