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36" w:rsidRDefault="00BD2536" w:rsidP="00B85DF4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</w:rPr>
      </w:pPr>
    </w:p>
    <w:p w:rsidR="00B85DF4" w:rsidRPr="007A722C" w:rsidRDefault="00B85DF4" w:rsidP="00B85DF4">
      <w:pPr>
        <w:jc w:val="center"/>
        <w:rPr>
          <w:rFonts w:ascii="Arial" w:eastAsia="Calibri" w:hAnsi="Arial" w:cs="Arial"/>
          <w:b/>
          <w:iCs/>
          <w:color w:val="000000"/>
        </w:rPr>
      </w:pPr>
      <w:r w:rsidRPr="007A722C">
        <w:rPr>
          <w:rFonts w:ascii="Arial" w:eastAsia="Calibri" w:hAnsi="Arial" w:cs="Arial"/>
          <w:b/>
          <w:iCs/>
          <w:color w:val="000000"/>
        </w:rPr>
        <w:t>Accordo</w:t>
      </w:r>
    </w:p>
    <w:p w:rsidR="00B85DF4" w:rsidRPr="007A722C" w:rsidRDefault="000872D0" w:rsidP="00B85DF4">
      <w:pPr>
        <w:jc w:val="center"/>
        <w:rPr>
          <w:rFonts w:ascii="Arial" w:eastAsia="Calibri" w:hAnsi="Arial" w:cs="Arial"/>
          <w:b/>
          <w:iCs/>
          <w:color w:val="000000"/>
        </w:rPr>
      </w:pPr>
      <w:r w:rsidRPr="007A722C">
        <w:rPr>
          <w:rFonts w:ascii="Arial" w:eastAsia="Calibri" w:hAnsi="Arial" w:cs="Arial"/>
          <w:b/>
          <w:iCs/>
          <w:color w:val="000000"/>
        </w:rPr>
        <w:t>Verifica del raggiungimento dei risultati</w:t>
      </w:r>
      <w:r w:rsidR="00B85DF4" w:rsidRPr="007A722C">
        <w:rPr>
          <w:rFonts w:ascii="Arial" w:eastAsia="Calibri" w:hAnsi="Arial" w:cs="Arial"/>
          <w:b/>
          <w:iCs/>
          <w:color w:val="000000"/>
        </w:rPr>
        <w:t xml:space="preserve"> finalizzat</w:t>
      </w:r>
      <w:r w:rsidRPr="007A722C">
        <w:rPr>
          <w:rFonts w:ascii="Arial" w:eastAsia="Calibri" w:hAnsi="Arial" w:cs="Arial"/>
          <w:b/>
          <w:iCs/>
          <w:color w:val="000000"/>
        </w:rPr>
        <w:t>a</w:t>
      </w:r>
      <w:r w:rsidR="00B85DF4" w:rsidRPr="007A722C">
        <w:rPr>
          <w:rFonts w:ascii="Arial" w:eastAsia="Calibri" w:hAnsi="Arial" w:cs="Arial"/>
          <w:b/>
          <w:iCs/>
          <w:color w:val="000000"/>
        </w:rPr>
        <w:t xml:space="preserve"> alla</w:t>
      </w:r>
    </w:p>
    <w:p w:rsidR="00B85DF4" w:rsidRPr="007A722C" w:rsidRDefault="00B85DF4" w:rsidP="00B85DF4">
      <w:pPr>
        <w:jc w:val="center"/>
        <w:rPr>
          <w:rFonts w:ascii="Arial" w:eastAsia="Calibri" w:hAnsi="Arial" w:cs="Arial"/>
          <w:b/>
          <w:iCs/>
          <w:color w:val="000000"/>
        </w:rPr>
      </w:pPr>
      <w:r w:rsidRPr="007A722C">
        <w:rPr>
          <w:rFonts w:ascii="Arial" w:eastAsia="Calibri" w:hAnsi="Arial" w:cs="Arial"/>
          <w:b/>
          <w:iCs/>
          <w:color w:val="000000"/>
        </w:rPr>
        <w:t xml:space="preserve">distribuzione </w:t>
      </w:r>
      <w:r w:rsidR="000872D0" w:rsidRPr="007A722C">
        <w:rPr>
          <w:rFonts w:ascii="Arial" w:eastAsia="Calibri" w:hAnsi="Arial" w:cs="Arial"/>
          <w:b/>
          <w:iCs/>
          <w:color w:val="000000"/>
        </w:rPr>
        <w:t xml:space="preserve">al Personale del Comparto </w:t>
      </w:r>
      <w:r w:rsidRPr="007A722C">
        <w:rPr>
          <w:rFonts w:ascii="Arial" w:eastAsia="Calibri" w:hAnsi="Arial" w:cs="Arial"/>
          <w:b/>
          <w:iCs/>
          <w:color w:val="000000"/>
        </w:rPr>
        <w:t>del Fondo Incentivazioni,</w:t>
      </w:r>
    </w:p>
    <w:p w:rsidR="00B85DF4" w:rsidRPr="007A722C" w:rsidRDefault="00B85DF4" w:rsidP="00B85DF4">
      <w:pPr>
        <w:jc w:val="center"/>
        <w:rPr>
          <w:rFonts w:ascii="Arial" w:hAnsi="Arial" w:cs="Arial"/>
          <w:b/>
          <w:iCs/>
          <w:color w:val="000000"/>
        </w:rPr>
      </w:pPr>
      <w:r w:rsidRPr="007A722C">
        <w:rPr>
          <w:rFonts w:ascii="Arial" w:eastAsia="Calibri" w:hAnsi="Arial" w:cs="Arial"/>
          <w:b/>
          <w:iCs/>
          <w:color w:val="000000"/>
        </w:rPr>
        <w:t xml:space="preserve">di cui all’art. 38 del CCNL Comparto Sanità </w:t>
      </w:r>
    </w:p>
    <w:p w:rsidR="00A44721" w:rsidRPr="007A722C" w:rsidRDefault="00A44721" w:rsidP="00B85DF4">
      <w:pPr>
        <w:jc w:val="center"/>
        <w:rPr>
          <w:rFonts w:ascii="Arial" w:eastAsia="Calibri" w:hAnsi="Arial" w:cs="Arial"/>
          <w:b/>
          <w:color w:val="000000"/>
        </w:rPr>
      </w:pPr>
      <w:r w:rsidRPr="007A722C">
        <w:rPr>
          <w:rFonts w:ascii="Arial" w:hAnsi="Arial" w:cs="Arial"/>
          <w:b/>
          <w:iCs/>
          <w:color w:val="000000"/>
        </w:rPr>
        <w:t>per l’anno 201</w:t>
      </w:r>
      <w:r w:rsidR="006925E9">
        <w:rPr>
          <w:rFonts w:ascii="Arial" w:hAnsi="Arial" w:cs="Arial"/>
          <w:b/>
          <w:iCs/>
          <w:color w:val="000000"/>
        </w:rPr>
        <w:t>3 e successivi</w:t>
      </w:r>
    </w:p>
    <w:p w:rsidR="0090134D" w:rsidRPr="0010239A" w:rsidRDefault="0090134D" w:rsidP="002610AD">
      <w:pPr>
        <w:jc w:val="both"/>
        <w:rPr>
          <w:rFonts w:ascii="Arial" w:hAnsi="Arial" w:cs="Arial"/>
        </w:rPr>
      </w:pPr>
    </w:p>
    <w:p w:rsidR="0010239A" w:rsidRPr="008E63C7" w:rsidRDefault="0010239A" w:rsidP="002610AD">
      <w:pPr>
        <w:jc w:val="both"/>
        <w:rPr>
          <w:rFonts w:ascii="Arial" w:hAnsi="Arial" w:cs="Arial"/>
          <w:b/>
        </w:rPr>
      </w:pPr>
      <w:r w:rsidRPr="008E63C7">
        <w:rPr>
          <w:rFonts w:ascii="Arial" w:hAnsi="Arial" w:cs="Arial"/>
          <w:b/>
        </w:rPr>
        <w:t>P</w:t>
      </w:r>
      <w:r w:rsidR="0090134D" w:rsidRPr="008E63C7">
        <w:rPr>
          <w:rFonts w:ascii="Arial" w:hAnsi="Arial" w:cs="Arial"/>
          <w:b/>
        </w:rPr>
        <w:t>remesso</w:t>
      </w:r>
      <w:r w:rsidR="0027762A" w:rsidRPr="008E63C7">
        <w:rPr>
          <w:rFonts w:ascii="Arial" w:hAnsi="Arial" w:cs="Arial"/>
          <w:b/>
        </w:rPr>
        <w:t xml:space="preserve"> che</w:t>
      </w:r>
      <w:r w:rsidRPr="008E63C7">
        <w:rPr>
          <w:rFonts w:ascii="Arial" w:hAnsi="Arial" w:cs="Arial"/>
          <w:b/>
        </w:rPr>
        <w:t>:</w:t>
      </w:r>
    </w:p>
    <w:p w:rsidR="0010239A" w:rsidRPr="008E63C7" w:rsidRDefault="0010239A" w:rsidP="0010239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 xml:space="preserve">il sistema </w:t>
      </w:r>
      <w:r w:rsidR="00D27E7B" w:rsidRPr="008E63C7">
        <w:rPr>
          <w:rFonts w:ascii="Arial" w:hAnsi="Arial" w:cs="Arial"/>
        </w:rPr>
        <w:t xml:space="preserve">qui descritto </w:t>
      </w:r>
      <w:r w:rsidRPr="008E63C7">
        <w:rPr>
          <w:rFonts w:ascii="Arial" w:hAnsi="Arial" w:cs="Arial"/>
        </w:rPr>
        <w:t xml:space="preserve">si </w:t>
      </w:r>
      <w:r w:rsidR="00D27E7B" w:rsidRPr="008E63C7">
        <w:rPr>
          <w:rFonts w:ascii="Arial" w:hAnsi="Arial" w:cs="Arial"/>
        </w:rPr>
        <w:t xml:space="preserve">propone di attuare un percorso di </w:t>
      </w:r>
      <w:r w:rsidR="00BA7D8D" w:rsidRPr="008E63C7">
        <w:rPr>
          <w:rFonts w:ascii="Arial" w:hAnsi="Arial" w:cs="Arial"/>
        </w:rPr>
        <w:t>verifica del raggiungimento dei risultati</w:t>
      </w:r>
      <w:r w:rsidR="00D27E7B" w:rsidRPr="008E63C7">
        <w:rPr>
          <w:rFonts w:ascii="Arial" w:hAnsi="Arial" w:cs="Arial"/>
        </w:rPr>
        <w:t xml:space="preserve"> del Personale del Comparto della Fondazione basato </w:t>
      </w:r>
      <w:r w:rsidRPr="008E63C7">
        <w:rPr>
          <w:rFonts w:ascii="Arial" w:hAnsi="Arial" w:cs="Arial"/>
        </w:rPr>
        <w:t>su criteri semplici, chiari ed uniformi</w:t>
      </w:r>
      <w:r w:rsidR="008E63C7" w:rsidRPr="008E63C7">
        <w:rPr>
          <w:rFonts w:ascii="Arial" w:hAnsi="Arial" w:cs="Arial"/>
        </w:rPr>
        <w:t xml:space="preserve">, </w:t>
      </w:r>
      <w:r w:rsidRPr="008E63C7">
        <w:rPr>
          <w:rFonts w:ascii="Arial" w:hAnsi="Arial" w:cs="Arial"/>
        </w:rPr>
        <w:t>nell’ambito di una valutazione d’équipe che preved</w:t>
      </w:r>
      <w:r w:rsidR="00BA7D8D" w:rsidRPr="008E63C7">
        <w:rPr>
          <w:rFonts w:ascii="Arial" w:hAnsi="Arial" w:cs="Arial"/>
        </w:rPr>
        <w:t>a</w:t>
      </w:r>
      <w:r w:rsidRPr="008E63C7">
        <w:rPr>
          <w:rFonts w:ascii="Arial" w:hAnsi="Arial" w:cs="Arial"/>
        </w:rPr>
        <w:t xml:space="preserve"> la partecipazione alla realizzazione degli obiettivi della struttura cui sono assegnati i singoli dipendenti, oltre che specifici obiettivi propri del</w:t>
      </w:r>
      <w:r w:rsidR="00BA7D8D" w:rsidRPr="008E63C7">
        <w:rPr>
          <w:rFonts w:ascii="Arial" w:hAnsi="Arial" w:cs="Arial"/>
        </w:rPr>
        <w:t>l’area del</w:t>
      </w:r>
      <w:r w:rsidRPr="008E63C7">
        <w:rPr>
          <w:rFonts w:ascii="Arial" w:hAnsi="Arial" w:cs="Arial"/>
        </w:rPr>
        <w:t xml:space="preserve"> Comparto;</w:t>
      </w:r>
    </w:p>
    <w:p w:rsidR="00D560A7" w:rsidRPr="008E63C7" w:rsidRDefault="00D560A7" w:rsidP="0010239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la tipologia di valutazione di gruppo qui adottata prende in esame l’attività svolta da una pluralità di persone, conseguente al carattere omogeneo delle operazioni e dei processi necessari al raggiungimento degli obiettivi</w:t>
      </w:r>
      <w:r w:rsidR="0001311C" w:rsidRPr="008E63C7">
        <w:rPr>
          <w:rFonts w:ascii="Arial" w:hAnsi="Arial" w:cs="Arial"/>
        </w:rPr>
        <w:t>;</w:t>
      </w:r>
    </w:p>
    <w:p w:rsidR="0010239A" w:rsidRPr="008E63C7" w:rsidRDefault="00BA7D8D" w:rsidP="0010239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ferme restando le competenze dirigenziali in materia, nell’ambito di tale sistema deve</w:t>
      </w:r>
      <w:r w:rsidR="0010239A" w:rsidRPr="008E63C7">
        <w:rPr>
          <w:rFonts w:ascii="Arial" w:hAnsi="Arial" w:cs="Arial"/>
        </w:rPr>
        <w:t xml:space="preserve"> essere valorizzat</w:t>
      </w:r>
      <w:r w:rsidRPr="008E63C7">
        <w:rPr>
          <w:rFonts w:ascii="Arial" w:hAnsi="Arial" w:cs="Arial"/>
        </w:rPr>
        <w:t>a</w:t>
      </w:r>
      <w:r w:rsidR="0010239A" w:rsidRPr="008E63C7">
        <w:rPr>
          <w:rFonts w:ascii="Arial" w:hAnsi="Arial" w:cs="Arial"/>
        </w:rPr>
        <w:t xml:space="preserve"> </w:t>
      </w:r>
      <w:r w:rsidRPr="008E63C7">
        <w:rPr>
          <w:rFonts w:ascii="Arial" w:hAnsi="Arial" w:cs="Arial"/>
        </w:rPr>
        <w:t xml:space="preserve">la partecipazione del personale del Comparto, in  specie attraverso </w:t>
      </w:r>
      <w:r w:rsidR="00C2694D">
        <w:rPr>
          <w:rFonts w:ascii="Arial" w:hAnsi="Arial" w:cs="Arial"/>
        </w:rPr>
        <w:t>il ruolo della</w:t>
      </w:r>
      <w:r w:rsidR="0010239A" w:rsidRPr="008E63C7">
        <w:rPr>
          <w:rFonts w:ascii="Arial" w:hAnsi="Arial" w:cs="Arial"/>
        </w:rPr>
        <w:t xml:space="preserve"> conferenz</w:t>
      </w:r>
      <w:r w:rsidR="00C2694D">
        <w:rPr>
          <w:rFonts w:ascii="Arial" w:hAnsi="Arial" w:cs="Arial"/>
        </w:rPr>
        <w:t>a</w:t>
      </w:r>
      <w:r w:rsidR="0010239A" w:rsidRPr="008E63C7">
        <w:rPr>
          <w:rFonts w:ascii="Arial" w:hAnsi="Arial" w:cs="Arial"/>
        </w:rPr>
        <w:t xml:space="preserve"> di struttura quale strumento di</w:t>
      </w:r>
      <w:r w:rsidRPr="008E63C7">
        <w:rPr>
          <w:rFonts w:ascii="Arial" w:hAnsi="Arial" w:cs="Arial"/>
        </w:rPr>
        <w:t xml:space="preserve"> garanzia della partecipazione stessa</w:t>
      </w:r>
      <w:r w:rsidR="0010239A" w:rsidRPr="008E63C7">
        <w:rPr>
          <w:rFonts w:ascii="Arial" w:hAnsi="Arial" w:cs="Arial"/>
        </w:rPr>
        <w:t xml:space="preserve">, </w:t>
      </w:r>
      <w:r w:rsidRPr="008E63C7">
        <w:rPr>
          <w:rFonts w:ascii="Arial" w:hAnsi="Arial" w:cs="Arial"/>
        </w:rPr>
        <w:t xml:space="preserve">al fine di consentire </w:t>
      </w:r>
      <w:r w:rsidR="0010239A" w:rsidRPr="008E63C7">
        <w:rPr>
          <w:rFonts w:ascii="Arial" w:hAnsi="Arial" w:cs="Arial"/>
        </w:rPr>
        <w:t xml:space="preserve"> ai dipendent</w:t>
      </w:r>
      <w:r w:rsidR="00A23B8D" w:rsidRPr="008E63C7">
        <w:rPr>
          <w:rFonts w:ascii="Arial" w:hAnsi="Arial" w:cs="Arial"/>
        </w:rPr>
        <w:t>i di conoscere anticipatamente gli obiettivi e le attività ad essi correlate, nonché l’andamento in corso d’anno dei relativi processi;</w:t>
      </w:r>
      <w:r w:rsidR="0010239A" w:rsidRPr="008E63C7">
        <w:rPr>
          <w:rFonts w:ascii="Arial" w:hAnsi="Arial" w:cs="Arial"/>
        </w:rPr>
        <w:t xml:space="preserve"> </w:t>
      </w:r>
    </w:p>
    <w:p w:rsidR="00A23B8D" w:rsidRPr="008E63C7" w:rsidRDefault="00A23B8D" w:rsidP="00A23B8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 xml:space="preserve">nella fase di </w:t>
      </w:r>
      <w:r w:rsidR="00C2694D">
        <w:rPr>
          <w:rFonts w:ascii="Arial" w:hAnsi="Arial" w:cs="Arial"/>
        </w:rPr>
        <w:t>condivisione</w:t>
      </w:r>
      <w:r w:rsidRPr="008E63C7">
        <w:rPr>
          <w:rFonts w:ascii="Arial" w:hAnsi="Arial" w:cs="Arial"/>
        </w:rPr>
        <w:t xml:space="preserve"> degli obiettivi viene valorizzato altresì il </w:t>
      </w:r>
      <w:r w:rsidR="0010239A" w:rsidRPr="008E63C7">
        <w:rPr>
          <w:rFonts w:ascii="Arial" w:hAnsi="Arial" w:cs="Arial"/>
        </w:rPr>
        <w:t>coinvolgimento delle figure di coordinamento</w:t>
      </w:r>
      <w:r w:rsidR="00BA7D8D" w:rsidRPr="008E63C7">
        <w:rPr>
          <w:rFonts w:ascii="Arial" w:hAnsi="Arial" w:cs="Arial"/>
        </w:rPr>
        <w:t xml:space="preserve"> e delle posizioni organizzative, in un’ottica di propositiva collaborazione con il livello dirigenziale;</w:t>
      </w:r>
    </w:p>
    <w:p w:rsidR="0027762A" w:rsidRPr="008E63C7" w:rsidRDefault="00BA7D8D" w:rsidP="0027762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 xml:space="preserve">nella fase di monitoraggio ed in generale in corso d’anno </w:t>
      </w:r>
      <w:r w:rsidR="00A23B8D" w:rsidRPr="008E63C7">
        <w:rPr>
          <w:rFonts w:ascii="Arial" w:hAnsi="Arial" w:cs="Arial"/>
        </w:rPr>
        <w:t>si prevede l’attivazione di specifici momenti di confronto</w:t>
      </w:r>
      <w:r w:rsidRPr="008E63C7">
        <w:rPr>
          <w:rFonts w:ascii="Arial" w:hAnsi="Arial" w:cs="Arial"/>
        </w:rPr>
        <w:t xml:space="preserve"> relativi al raggiungimento dei risultati attesi, in particolare</w:t>
      </w:r>
      <w:r w:rsidR="00A23B8D" w:rsidRPr="008E63C7">
        <w:rPr>
          <w:rFonts w:ascii="Arial" w:hAnsi="Arial" w:cs="Arial"/>
        </w:rPr>
        <w:t xml:space="preserve"> quando l’</w:t>
      </w:r>
      <w:r w:rsidR="0027762A" w:rsidRPr="008E63C7">
        <w:rPr>
          <w:rFonts w:ascii="Arial" w:hAnsi="Arial" w:cs="Arial"/>
        </w:rPr>
        <w:t>andamento dei processi presenti aspetti critici che potrebbero comportare una valutazione negativa o non pienamente positiva;</w:t>
      </w:r>
    </w:p>
    <w:p w:rsidR="00A23B8D" w:rsidRPr="008E63C7" w:rsidRDefault="00A23B8D" w:rsidP="00A23B8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viene garantita l’indipendenza da cause esterne nel mancato raggiungimento di uno o più obiettivi;</w:t>
      </w:r>
    </w:p>
    <w:p w:rsidR="0027762A" w:rsidRPr="008E63C7" w:rsidRDefault="00FA5A95" w:rsidP="00A23B8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ai fini della determinazione della quota di incentivo da attribuire viene considerata anche la presenza in servizio, secondo le regole in uso;</w:t>
      </w:r>
    </w:p>
    <w:p w:rsidR="00FA5A95" w:rsidRPr="008E63C7" w:rsidRDefault="00FA5A95" w:rsidP="00A23B8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la valutazione del Personale del Comparto è riferita alla totalità degli obiettivi – e correlati punteggi - contenuti nella scheda della struttura presso cui i dipendenti sono assegnati</w:t>
      </w:r>
      <w:r w:rsidR="00BA7D8D" w:rsidRPr="008E63C7">
        <w:rPr>
          <w:rFonts w:ascii="Arial" w:hAnsi="Arial" w:cs="Arial"/>
        </w:rPr>
        <w:t>;</w:t>
      </w:r>
    </w:p>
    <w:p w:rsidR="008E63C7" w:rsidRDefault="008E63C7" w:rsidP="008E63C7">
      <w:pPr>
        <w:jc w:val="both"/>
        <w:rPr>
          <w:rFonts w:ascii="Arial" w:hAnsi="Arial" w:cs="Arial"/>
        </w:rPr>
      </w:pPr>
    </w:p>
    <w:p w:rsidR="008E63C7" w:rsidRPr="008E63C7" w:rsidRDefault="008E63C7" w:rsidP="008E63C7">
      <w:pPr>
        <w:jc w:val="both"/>
        <w:rPr>
          <w:rFonts w:ascii="Arial" w:hAnsi="Arial" w:cs="Arial"/>
        </w:rPr>
      </w:pPr>
      <w:r w:rsidRPr="008E63C7">
        <w:rPr>
          <w:rFonts w:ascii="Arial" w:hAnsi="Arial" w:cs="Arial"/>
          <w:b/>
        </w:rPr>
        <w:t>visto</w:t>
      </w:r>
      <w:r w:rsidRPr="008E63C7">
        <w:rPr>
          <w:rFonts w:ascii="Arial" w:hAnsi="Arial" w:cs="Arial"/>
        </w:rPr>
        <w:t xml:space="preserve"> il CCNL Comparto Sanità e la normativa vigente in materia di incentivazione,</w:t>
      </w:r>
      <w:r>
        <w:rPr>
          <w:rFonts w:ascii="Arial" w:hAnsi="Arial" w:cs="Arial"/>
        </w:rPr>
        <w:t xml:space="preserve"> nonché le Regole regionali 2013 di cui alla DGR IX/4334 del 26 ottobre 2012</w:t>
      </w:r>
      <w:r w:rsidR="001420EC">
        <w:rPr>
          <w:rFonts w:ascii="Arial" w:hAnsi="Arial" w:cs="Arial"/>
        </w:rPr>
        <w:t>;</w:t>
      </w:r>
      <w:r w:rsidRPr="008E63C7">
        <w:rPr>
          <w:rFonts w:ascii="Arial" w:hAnsi="Arial" w:cs="Arial"/>
        </w:rPr>
        <w:t xml:space="preserve"> </w:t>
      </w:r>
    </w:p>
    <w:p w:rsidR="00A23B8D" w:rsidRDefault="00A23B8D" w:rsidP="008E63C7">
      <w:pPr>
        <w:jc w:val="both"/>
        <w:rPr>
          <w:rFonts w:ascii="Arial" w:hAnsi="Arial" w:cs="Arial"/>
          <w:highlight w:val="yellow"/>
        </w:rPr>
      </w:pPr>
    </w:p>
    <w:p w:rsidR="0090134D" w:rsidRPr="008E63C7" w:rsidRDefault="00184932" w:rsidP="00A23B8D">
      <w:pPr>
        <w:jc w:val="both"/>
        <w:rPr>
          <w:rFonts w:ascii="Arial" w:hAnsi="Arial" w:cs="Arial"/>
        </w:rPr>
      </w:pPr>
      <w:r w:rsidRPr="008E63C7">
        <w:rPr>
          <w:rFonts w:ascii="Arial" w:hAnsi="Arial" w:cs="Arial"/>
          <w:b/>
        </w:rPr>
        <w:t>d</w:t>
      </w:r>
      <w:r w:rsidR="00A23B8D" w:rsidRPr="008E63C7">
        <w:rPr>
          <w:rFonts w:ascii="Arial" w:hAnsi="Arial" w:cs="Arial"/>
          <w:b/>
        </w:rPr>
        <w:t>ato atto</w:t>
      </w:r>
      <w:r w:rsidR="00A23B8D" w:rsidRPr="008E63C7">
        <w:rPr>
          <w:rFonts w:ascii="Arial" w:hAnsi="Arial" w:cs="Arial"/>
        </w:rPr>
        <w:t xml:space="preserve"> che</w:t>
      </w:r>
      <w:r w:rsidR="0090134D" w:rsidRPr="008E63C7">
        <w:rPr>
          <w:rFonts w:ascii="Arial" w:hAnsi="Arial" w:cs="Arial"/>
        </w:rPr>
        <w:t xml:space="preserve"> la definizione degli obiettivi del personale del Comparto per l’anno 2013 avviene sulla base </w:t>
      </w:r>
      <w:r w:rsidR="008E63C7" w:rsidRPr="008E63C7">
        <w:rPr>
          <w:rFonts w:ascii="Arial" w:hAnsi="Arial" w:cs="Arial"/>
        </w:rPr>
        <w:t>di criteri</w:t>
      </w:r>
      <w:r w:rsidR="0090134D" w:rsidRPr="008E63C7">
        <w:rPr>
          <w:rFonts w:ascii="Arial" w:hAnsi="Arial" w:cs="Arial"/>
        </w:rPr>
        <w:t xml:space="preserve"> concordati d’intesa tra le parti</w:t>
      </w:r>
      <w:r w:rsidR="00022104" w:rsidRPr="008E63C7">
        <w:rPr>
          <w:rFonts w:ascii="Arial" w:hAnsi="Arial" w:cs="Arial"/>
        </w:rPr>
        <w:t>, ai sensi dell’art. 4, comma 2, punto I del CCNL 1998/2001</w:t>
      </w:r>
      <w:r w:rsidR="00D560A7" w:rsidRPr="008E63C7">
        <w:rPr>
          <w:rFonts w:ascii="Arial" w:hAnsi="Arial" w:cs="Arial"/>
        </w:rPr>
        <w:t xml:space="preserve"> Comparto Sanità</w:t>
      </w:r>
      <w:r w:rsidR="0078753D">
        <w:rPr>
          <w:rFonts w:ascii="Arial" w:hAnsi="Arial" w:cs="Arial"/>
        </w:rPr>
        <w:t>;</w:t>
      </w:r>
    </w:p>
    <w:p w:rsidR="0090134D" w:rsidRPr="0010239A" w:rsidRDefault="0090134D" w:rsidP="008E63C7">
      <w:pPr>
        <w:jc w:val="both"/>
        <w:rPr>
          <w:rFonts w:ascii="Arial" w:hAnsi="Arial" w:cs="Arial"/>
          <w:highlight w:val="yellow"/>
        </w:rPr>
      </w:pPr>
    </w:p>
    <w:p w:rsidR="007A0461" w:rsidRDefault="00FA5A95" w:rsidP="00FA5A95">
      <w:p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 xml:space="preserve">in ordine all’oggetto, facendo seguito agli esiti dei recenti tavoli di trattativa, ed in particolare alle sedute di mercoledì 19 dicembre 2012 e di venerdì 18 gennaio 2013, RSU, OO.SS. del Comparto e Delegazione Trattante di Parte Pubblica, il giorno __________ 2013, alle ore ______, presso la </w:t>
      </w:r>
      <w:r w:rsidR="008E63C7">
        <w:rPr>
          <w:rFonts w:ascii="Arial" w:hAnsi="Arial" w:cs="Arial"/>
        </w:rPr>
        <w:t>__________________</w:t>
      </w:r>
      <w:r w:rsidRPr="008E63C7">
        <w:rPr>
          <w:rFonts w:ascii="Arial" w:hAnsi="Arial" w:cs="Arial"/>
        </w:rPr>
        <w:t xml:space="preserve">, </w:t>
      </w:r>
    </w:p>
    <w:p w:rsidR="00FA5A95" w:rsidRPr="008E63C7" w:rsidRDefault="00FA5A95" w:rsidP="007A0461">
      <w:pPr>
        <w:jc w:val="center"/>
        <w:rPr>
          <w:rFonts w:ascii="Arial" w:hAnsi="Arial" w:cs="Arial"/>
        </w:rPr>
      </w:pPr>
      <w:r w:rsidRPr="008E63C7">
        <w:rPr>
          <w:rFonts w:ascii="Arial" w:hAnsi="Arial" w:cs="Arial"/>
          <w:b/>
        </w:rPr>
        <w:t>concordano quanto segue</w:t>
      </w:r>
      <w:r w:rsidR="007A0461">
        <w:rPr>
          <w:rFonts w:ascii="Arial" w:hAnsi="Arial" w:cs="Arial"/>
        </w:rPr>
        <w:t>:</w:t>
      </w:r>
    </w:p>
    <w:p w:rsidR="008E63C7" w:rsidRDefault="008E63C7" w:rsidP="00FA5A95">
      <w:pPr>
        <w:jc w:val="both"/>
        <w:rPr>
          <w:rFonts w:ascii="Arial" w:hAnsi="Arial" w:cs="Arial"/>
        </w:rPr>
      </w:pPr>
    </w:p>
    <w:p w:rsidR="008E63C7" w:rsidRPr="008E63C7" w:rsidRDefault="007A0461" w:rsidP="008E63C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E63C7" w:rsidRPr="008E63C7">
        <w:rPr>
          <w:rFonts w:ascii="Arial" w:hAnsi="Arial" w:cs="Arial"/>
        </w:rPr>
        <w:t>li obiettivi del Personale del Comparto della Fondazione sono formulati in base ai seguenti criteri:</w:t>
      </w:r>
    </w:p>
    <w:p w:rsidR="008E63C7" w:rsidRPr="008E63C7" w:rsidRDefault="008E63C7" w:rsidP="008E63C7">
      <w:pPr>
        <w:pStyle w:val="Paragrafoelenco"/>
        <w:numPr>
          <w:ilvl w:val="0"/>
          <w:numId w:val="5"/>
        </w:numPr>
        <w:ind w:left="1134" w:firstLine="0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 xml:space="preserve">coerenza dell’obiettivo con il profilo professionale di riferimento; </w:t>
      </w:r>
    </w:p>
    <w:p w:rsidR="008E63C7" w:rsidRPr="008E63C7" w:rsidRDefault="008E63C7" w:rsidP="008E63C7">
      <w:pPr>
        <w:pStyle w:val="Paragrafoelenco"/>
        <w:numPr>
          <w:ilvl w:val="0"/>
          <w:numId w:val="5"/>
        </w:numPr>
        <w:ind w:left="1134" w:firstLine="0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misurabilità degli obiettivi;</w:t>
      </w:r>
    </w:p>
    <w:p w:rsidR="008E63C7" w:rsidRPr="008E63C7" w:rsidRDefault="008E63C7" w:rsidP="008E63C7">
      <w:pPr>
        <w:pStyle w:val="Paragrafoelenco"/>
        <w:numPr>
          <w:ilvl w:val="0"/>
          <w:numId w:val="5"/>
        </w:numPr>
        <w:ind w:left="1134" w:firstLine="0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lastRenderedPageBreak/>
        <w:t>differenziazione delle responsabilità nel processo produttivo tra Personale del Comparto e della Dirigenza, con conseguente diversa pesatura, laddove necessario, del punteggio correlato all’’obiettivo;</w:t>
      </w:r>
    </w:p>
    <w:p w:rsidR="008E63C7" w:rsidRPr="008E63C7" w:rsidRDefault="008E63C7" w:rsidP="008E63C7">
      <w:pPr>
        <w:pStyle w:val="Paragrafoelenco"/>
        <w:numPr>
          <w:ilvl w:val="0"/>
          <w:numId w:val="5"/>
        </w:numPr>
        <w:ind w:left="1134" w:firstLine="0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copertura di tutte le figure professionali del Comparto;</w:t>
      </w:r>
    </w:p>
    <w:p w:rsidR="008E63C7" w:rsidRPr="008E63C7" w:rsidRDefault="008E63C7" w:rsidP="008E63C7">
      <w:pPr>
        <w:pStyle w:val="Paragrafoelenco"/>
        <w:numPr>
          <w:ilvl w:val="0"/>
          <w:numId w:val="5"/>
        </w:numPr>
        <w:ind w:left="1134" w:firstLine="0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trasversalità intra ed inter – dipartimentale e aggregazione di obiettivi per progetto;</w:t>
      </w:r>
    </w:p>
    <w:p w:rsidR="008E63C7" w:rsidRDefault="008E63C7" w:rsidP="008E63C7">
      <w:pPr>
        <w:ind w:left="1134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le parti si impegnano ad incontrarsi entro la fine di ogni anno per un momento di confronto in merito ai suddetti criteri finalizzato a confermarne o integrarne i contenuti;</w:t>
      </w:r>
    </w:p>
    <w:p w:rsidR="001420EC" w:rsidRDefault="001420EC" w:rsidP="001420E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8E63C7">
        <w:rPr>
          <w:rFonts w:ascii="Arial" w:hAnsi="Arial" w:cs="Arial"/>
        </w:rPr>
        <w:t xml:space="preserve"> distribuzione delle</w:t>
      </w:r>
      <w:r w:rsidRPr="008E63C7">
        <w:rPr>
          <w:rFonts w:ascii="Arial" w:hAnsi="Arial" w:cs="Arial"/>
          <w:color w:val="1F497D" w:themeColor="dark2"/>
        </w:rPr>
        <w:t xml:space="preserve"> </w:t>
      </w:r>
      <w:r w:rsidRPr="008E63C7">
        <w:rPr>
          <w:rFonts w:ascii="Arial" w:hAnsi="Arial" w:cs="Arial"/>
        </w:rPr>
        <w:t xml:space="preserve">quote </w:t>
      </w:r>
      <w:r>
        <w:rPr>
          <w:rFonts w:ascii="Arial" w:hAnsi="Arial" w:cs="Arial"/>
        </w:rPr>
        <w:t xml:space="preserve">in oggetto </w:t>
      </w:r>
      <w:r w:rsidRPr="008E63C7">
        <w:rPr>
          <w:rFonts w:ascii="Arial" w:hAnsi="Arial" w:cs="Arial"/>
        </w:rPr>
        <w:t xml:space="preserve">spettanti al personale del Comparto prosegue con cadenza mensile </w:t>
      </w:r>
      <w:r w:rsidRPr="006F7375">
        <w:rPr>
          <w:rFonts w:ascii="Arial" w:hAnsi="Arial" w:cs="Arial"/>
        </w:rPr>
        <w:t>secondo quanto di seguito esposto</w:t>
      </w:r>
      <w:r w:rsidRPr="008E63C7">
        <w:rPr>
          <w:rFonts w:ascii="Arial" w:hAnsi="Arial" w:cs="Arial"/>
        </w:rPr>
        <w:t xml:space="preserve"> a partire dal gennaio 2013 e per gli anni successivi sino a modifica dell’accordo vigente e con le quote definite in apposito documento da validarsi d’intesa tra le parti;</w:t>
      </w:r>
    </w:p>
    <w:p w:rsidR="00010135" w:rsidRPr="008E63C7" w:rsidRDefault="00A410B8" w:rsidP="0001013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le quote mensili vengono erogate previa</w:t>
      </w:r>
      <w:r w:rsidR="002610AD" w:rsidRPr="008E63C7">
        <w:rPr>
          <w:rFonts w:ascii="Arial" w:hAnsi="Arial" w:cs="Arial"/>
        </w:rPr>
        <w:t xml:space="preserve"> verifica </w:t>
      </w:r>
      <w:r w:rsidRPr="008E63C7">
        <w:rPr>
          <w:rFonts w:ascii="Arial" w:hAnsi="Arial" w:cs="Arial"/>
        </w:rPr>
        <w:t>trimestrale</w:t>
      </w:r>
      <w:r w:rsidR="002610AD" w:rsidRPr="008E63C7">
        <w:rPr>
          <w:rFonts w:ascii="Arial" w:hAnsi="Arial" w:cs="Arial"/>
        </w:rPr>
        <w:t xml:space="preserve"> a cura del NdV </w:t>
      </w:r>
      <w:r w:rsidR="00B11D7A" w:rsidRPr="008E63C7">
        <w:rPr>
          <w:rFonts w:ascii="Arial" w:hAnsi="Arial" w:cs="Arial"/>
        </w:rPr>
        <w:t>rispetto al raggiungimento dei risultati programmati;</w:t>
      </w:r>
    </w:p>
    <w:p w:rsidR="002610AD" w:rsidRPr="007A722C" w:rsidRDefault="00EE1311" w:rsidP="002610A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11D7A">
        <w:rPr>
          <w:rFonts w:ascii="Arial" w:hAnsi="Arial" w:cs="Arial"/>
        </w:rPr>
        <w:t xml:space="preserve">a tale scopo </w:t>
      </w:r>
      <w:r w:rsidR="002610AD" w:rsidRPr="00B11D7A">
        <w:rPr>
          <w:rFonts w:ascii="Arial" w:hAnsi="Arial" w:cs="Arial"/>
        </w:rPr>
        <w:t xml:space="preserve">si applicano i </w:t>
      </w:r>
      <w:r w:rsidR="008306C8" w:rsidRPr="00B11D7A">
        <w:rPr>
          <w:rFonts w:ascii="Arial" w:hAnsi="Arial" w:cs="Arial"/>
        </w:rPr>
        <w:t>seguenti range di oscillazione:</w:t>
      </w:r>
    </w:p>
    <w:p w:rsidR="008306C8" w:rsidRPr="007A722C" w:rsidRDefault="008306C8" w:rsidP="008306C8">
      <w:pPr>
        <w:pStyle w:val="Paragrafoelenco"/>
        <w:ind w:left="78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"/>
        <w:tblW w:w="0" w:type="auto"/>
        <w:tblCellMar>
          <w:left w:w="0" w:type="dxa"/>
          <w:right w:w="0" w:type="dxa"/>
        </w:tblCellMar>
        <w:tblLook w:val="04A0"/>
      </w:tblPr>
      <w:tblGrid>
        <w:gridCol w:w="3678"/>
        <w:gridCol w:w="3260"/>
      </w:tblGrid>
      <w:tr w:rsidR="002610AD" w:rsidTr="002610AD"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AD" w:rsidRDefault="002610A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Percentuale di raggiungimento dell’obiettivo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AD" w:rsidRDefault="002610A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Quota assegnata alla struttura</w:t>
            </w:r>
          </w:p>
        </w:tc>
      </w:tr>
      <w:tr w:rsidR="002610AD" w:rsidTr="002610AD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AD" w:rsidRDefault="00B85DF4" w:rsidP="008E63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7375">
              <w:t xml:space="preserve">&gt; = </w:t>
            </w:r>
            <w:r w:rsidR="008E63C7" w:rsidRPr="006F7375">
              <w:t>7</w:t>
            </w:r>
            <w:r w:rsidR="00A410B8" w:rsidRPr="006F7375">
              <w:t>0</w:t>
            </w:r>
            <w:r w:rsidR="002610AD" w:rsidRPr="006F7375">
              <w:t>%</w:t>
            </w:r>
            <w:r w:rsidR="007609A0"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AD" w:rsidRDefault="002610AD" w:rsidP="00EC5E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 xml:space="preserve">100% della sommatoria delle quote capitarie </w:t>
            </w:r>
          </w:p>
        </w:tc>
      </w:tr>
      <w:tr w:rsidR="002610AD" w:rsidTr="002610AD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AD" w:rsidRDefault="002610AD" w:rsidP="008E63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7375">
              <w:t xml:space="preserve">&gt; = </w:t>
            </w:r>
            <w:r w:rsidR="008E63C7" w:rsidRPr="006F7375">
              <w:t>6</w:t>
            </w:r>
            <w:r w:rsidRPr="006F7375">
              <w:t>0%, &lt;</w:t>
            </w:r>
            <w:r w:rsidR="008E63C7" w:rsidRPr="006F7375">
              <w:t>7</w:t>
            </w:r>
            <w:r w:rsidR="00A410B8" w:rsidRPr="006F7375">
              <w:t>0</w:t>
            </w:r>
            <w:r w:rsidRPr="006F7375">
              <w:t>%</w:t>
            </w:r>
            <w:r w:rsidR="007609A0"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AD" w:rsidRDefault="00B85DF4" w:rsidP="00EC5E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80</w:t>
            </w:r>
            <w:r w:rsidR="002610AD">
              <w:t>%  della sommatoria delle quote capitarie</w:t>
            </w:r>
          </w:p>
        </w:tc>
      </w:tr>
      <w:tr w:rsidR="00AC189F" w:rsidTr="00AC189F">
        <w:trPr>
          <w:trHeight w:val="451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89F" w:rsidRDefault="00AC189F" w:rsidP="008E63C7">
            <w:pPr>
              <w:autoSpaceDE w:val="0"/>
              <w:autoSpaceDN w:val="0"/>
              <w:jc w:val="center"/>
            </w:pPr>
            <w:r w:rsidRPr="006F7375">
              <w:t xml:space="preserve">&gt; = </w:t>
            </w:r>
            <w:r w:rsidR="008E63C7" w:rsidRPr="006F7375">
              <w:t>4</w:t>
            </w:r>
            <w:r w:rsidR="00A410B8" w:rsidRPr="006F7375">
              <w:t>0</w:t>
            </w:r>
            <w:r w:rsidRPr="006F7375">
              <w:t>%, &lt;</w:t>
            </w:r>
            <w:r w:rsidR="00A410B8" w:rsidRPr="006F7375">
              <w:t>6</w:t>
            </w:r>
            <w:r w:rsidRPr="006F7375">
              <w:t>0%</w:t>
            </w:r>
            <w:r w:rsidR="007609A0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89F" w:rsidRDefault="00A410B8" w:rsidP="00A410B8">
            <w:pPr>
              <w:autoSpaceDE w:val="0"/>
              <w:autoSpaceDN w:val="0"/>
              <w:jc w:val="center"/>
            </w:pPr>
            <w:r>
              <w:t>6</w:t>
            </w:r>
            <w:r w:rsidR="00AC189F">
              <w:t xml:space="preserve">0% della sommatoria delle quote capitarie </w:t>
            </w:r>
          </w:p>
        </w:tc>
      </w:tr>
      <w:tr w:rsidR="002610AD" w:rsidTr="002610AD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AD" w:rsidRDefault="002610AD" w:rsidP="008E63C7">
            <w:pPr>
              <w:autoSpaceDE w:val="0"/>
              <w:autoSpaceDN w:val="0"/>
              <w:jc w:val="center"/>
            </w:pPr>
            <w:r w:rsidRPr="006F7375">
              <w:t>&lt;</w:t>
            </w:r>
            <w:r w:rsidR="008E63C7" w:rsidRPr="006F7375">
              <w:t>4</w:t>
            </w:r>
            <w:r w:rsidR="00A410B8" w:rsidRPr="006F7375">
              <w:t>0</w:t>
            </w:r>
            <w:r w:rsidRPr="006F7375">
              <w:t>%</w:t>
            </w:r>
            <w:r w:rsidR="007609A0"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89F" w:rsidRDefault="002610AD" w:rsidP="00EC5EC7">
            <w:pPr>
              <w:autoSpaceDE w:val="0"/>
              <w:autoSpaceDN w:val="0"/>
              <w:jc w:val="center"/>
            </w:pPr>
            <w:r>
              <w:t xml:space="preserve">nessuna attribuzione delle quote capitarie </w:t>
            </w:r>
          </w:p>
        </w:tc>
      </w:tr>
    </w:tbl>
    <w:p w:rsidR="002610AD" w:rsidRDefault="002610AD" w:rsidP="002610AD">
      <w:pPr>
        <w:pStyle w:val="Paragrafoelenco"/>
        <w:ind w:left="780"/>
        <w:rPr>
          <w:rFonts w:ascii="Arial" w:hAnsi="Arial" w:cs="Arial"/>
          <w:sz w:val="24"/>
          <w:szCs w:val="24"/>
        </w:rPr>
      </w:pPr>
    </w:p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/>
    <w:p w:rsidR="002610AD" w:rsidRDefault="002610AD" w:rsidP="002610AD">
      <w:pPr>
        <w:rPr>
          <w:rFonts w:asciiTheme="minorHAnsi" w:hAnsiTheme="minorHAnsi" w:cstheme="minorBidi"/>
          <w:color w:val="1F497D" w:themeColor="dark2"/>
        </w:rPr>
      </w:pPr>
    </w:p>
    <w:p w:rsidR="002610AD" w:rsidRDefault="00AC189F" w:rsidP="00AC189F">
      <w:pPr>
        <w:tabs>
          <w:tab w:val="left" w:pos="1440"/>
        </w:tabs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ab/>
      </w:r>
    </w:p>
    <w:p w:rsidR="006F7375" w:rsidRDefault="006F7375" w:rsidP="002610AD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8E63C7">
        <w:rPr>
          <w:rFonts w:ascii="Arial" w:hAnsi="Arial" w:cs="Arial"/>
        </w:rPr>
        <w:t>prima della trasmissione della documentazione trimestrale al NdV, qualora si rilevino scostamenti rispetto al risultato atteso, che possano pregiudicare in tutto o in parte la corresponsione della quota di incentivo, l’Amministrazione</w:t>
      </w:r>
      <w:r>
        <w:rPr>
          <w:rFonts w:ascii="Arial" w:hAnsi="Arial" w:cs="Arial"/>
        </w:rPr>
        <w:t xml:space="preserve"> adotta le eventuali misure necessarie e ne informa RSU ed OO.SS. del Comparto,</w:t>
      </w:r>
      <w:r w:rsidRPr="006F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 casi di responsabilità aziendale;</w:t>
      </w:r>
    </w:p>
    <w:p w:rsidR="002610AD" w:rsidRPr="007A722C" w:rsidRDefault="002610AD" w:rsidP="002610AD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7A722C">
        <w:rPr>
          <w:rFonts w:ascii="Arial" w:hAnsi="Arial" w:cs="Arial"/>
        </w:rPr>
        <w:t>l’Amministrazione tiene conto del fatto che taluni obiettivi possano non essere raggiunti in tutto o in parte per cause non dipendenti dalla volontà del Personale del Comparto, e dispone per un eventuale pagamento qualora dette esimenti siano recepite e certificate dal NdV</w:t>
      </w:r>
      <w:r w:rsidR="008E63C7">
        <w:rPr>
          <w:rFonts w:ascii="Arial" w:hAnsi="Arial" w:cs="Arial"/>
        </w:rPr>
        <w:t xml:space="preserve">, </w:t>
      </w:r>
      <w:r w:rsidR="008E63C7" w:rsidRPr="006F7375">
        <w:rPr>
          <w:rFonts w:ascii="Arial" w:hAnsi="Arial" w:cs="Arial"/>
        </w:rPr>
        <w:t>con riserva di recuperare le eventuali quote indebitamente erogate</w:t>
      </w:r>
      <w:r w:rsidR="00E34DE4" w:rsidRPr="006F7375">
        <w:rPr>
          <w:rFonts w:ascii="Arial" w:hAnsi="Arial" w:cs="Arial"/>
        </w:rPr>
        <w:t>;</w:t>
      </w:r>
      <w:r w:rsidRPr="007A722C">
        <w:rPr>
          <w:rFonts w:ascii="Arial" w:hAnsi="Arial" w:cs="Arial"/>
        </w:rPr>
        <w:t xml:space="preserve"> </w:t>
      </w:r>
    </w:p>
    <w:p w:rsidR="007A722C" w:rsidRPr="007A722C" w:rsidRDefault="007A722C" w:rsidP="002610AD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7A722C">
        <w:rPr>
          <w:rFonts w:ascii="Arial" w:hAnsi="Arial" w:cs="Arial"/>
        </w:rPr>
        <w:t>l’Amministrazione garantisce l’erogazione della quota mensile di incentivi nel caso in cui il NdV non si riu</w:t>
      </w:r>
      <w:r w:rsidR="006D7733">
        <w:rPr>
          <w:rFonts w:ascii="Arial" w:hAnsi="Arial" w:cs="Arial"/>
        </w:rPr>
        <w:t>nisca nei tempi previsti.</w:t>
      </w:r>
    </w:p>
    <w:p w:rsidR="002610AD" w:rsidRDefault="002610AD" w:rsidP="002610AD">
      <w:pPr>
        <w:jc w:val="both"/>
        <w:rPr>
          <w:rFonts w:ascii="Arial" w:hAnsi="Arial" w:cs="Arial"/>
        </w:rPr>
      </w:pPr>
    </w:p>
    <w:p w:rsidR="00A410B8" w:rsidRPr="007A722C" w:rsidRDefault="00A410B8" w:rsidP="002610AD">
      <w:pPr>
        <w:jc w:val="both"/>
        <w:rPr>
          <w:rFonts w:ascii="Arial" w:hAnsi="Arial" w:cs="Arial"/>
        </w:rPr>
      </w:pPr>
    </w:p>
    <w:p w:rsidR="002610AD" w:rsidRPr="007A722C" w:rsidRDefault="00A44721" w:rsidP="002610AD">
      <w:pPr>
        <w:jc w:val="both"/>
        <w:rPr>
          <w:rFonts w:ascii="Arial" w:hAnsi="Arial" w:cs="Arial"/>
        </w:rPr>
      </w:pPr>
      <w:r w:rsidRPr="007A722C">
        <w:rPr>
          <w:rFonts w:ascii="Arial" w:hAnsi="Arial" w:cs="Arial"/>
        </w:rPr>
        <w:t xml:space="preserve">Letto, confermato e sottoscritto </w:t>
      </w:r>
    </w:p>
    <w:p w:rsidR="00A44721" w:rsidRPr="007A722C" w:rsidRDefault="00A44721" w:rsidP="002610AD">
      <w:pPr>
        <w:jc w:val="both"/>
        <w:rPr>
          <w:rFonts w:ascii="Arial" w:hAnsi="Arial" w:cs="Arial"/>
        </w:rPr>
      </w:pPr>
    </w:p>
    <w:p w:rsidR="00E45BC5" w:rsidRDefault="00A44721" w:rsidP="003D562B">
      <w:pPr>
        <w:jc w:val="both"/>
      </w:pPr>
      <w:r w:rsidRPr="007A722C">
        <w:rPr>
          <w:rFonts w:ascii="Arial" w:hAnsi="Arial" w:cs="Arial"/>
        </w:rPr>
        <w:t xml:space="preserve">La RSU e le OO.SS. del Comparto </w:t>
      </w:r>
      <w:r w:rsidRPr="007A722C">
        <w:rPr>
          <w:rFonts w:ascii="Arial" w:hAnsi="Arial" w:cs="Arial"/>
        </w:rPr>
        <w:tab/>
      </w:r>
      <w:r w:rsidRPr="007A722C">
        <w:rPr>
          <w:rFonts w:ascii="Arial" w:hAnsi="Arial" w:cs="Arial"/>
        </w:rPr>
        <w:tab/>
        <w:t xml:space="preserve"> </w:t>
      </w:r>
      <w:r w:rsidR="002610AD" w:rsidRPr="007A722C">
        <w:rPr>
          <w:rFonts w:ascii="Arial" w:hAnsi="Arial" w:cs="Arial"/>
        </w:rPr>
        <w:t>La Delegazione Trattante di Parte Pubblica</w:t>
      </w:r>
    </w:p>
    <w:sectPr w:rsidR="00E45BC5" w:rsidSect="00033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FB" w:rsidRDefault="00080AFB" w:rsidP="00AC189F">
      <w:r>
        <w:separator/>
      </w:r>
    </w:p>
  </w:endnote>
  <w:endnote w:type="continuationSeparator" w:id="0">
    <w:p w:rsidR="00080AFB" w:rsidRDefault="00080AFB" w:rsidP="00AC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1C" w:rsidRDefault="000131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50047"/>
      <w:docPartObj>
        <w:docPartGallery w:val="Page Numbers (Bottom of Page)"/>
        <w:docPartUnique/>
      </w:docPartObj>
    </w:sdtPr>
    <w:sdtContent>
      <w:p w:rsidR="00D560A7" w:rsidRDefault="00593B05">
        <w:pPr>
          <w:pStyle w:val="Pidipagina"/>
          <w:jc w:val="right"/>
        </w:pPr>
        <w:fldSimple w:instr=" PAGE   \* MERGEFORMAT ">
          <w:r w:rsidR="00CB46E3">
            <w:rPr>
              <w:noProof/>
            </w:rPr>
            <w:t>1</w:t>
          </w:r>
        </w:fldSimple>
      </w:p>
    </w:sdtContent>
  </w:sdt>
  <w:p w:rsidR="00D560A7" w:rsidRDefault="00D560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1C" w:rsidRDefault="000131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FB" w:rsidRDefault="00080AFB" w:rsidP="00AC189F">
      <w:r>
        <w:separator/>
      </w:r>
    </w:p>
  </w:footnote>
  <w:footnote w:type="continuationSeparator" w:id="0">
    <w:p w:rsidR="00080AFB" w:rsidRDefault="00080AFB" w:rsidP="00AC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9F" w:rsidRDefault="00593B0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9" type="#_x0000_t136" style="position:absolute;margin-left:0;margin-top:0;width:424.65pt;height:254.75pt;rotation:315;z-index:-251648000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BOZZA"/>
          <w10:wrap anchorx="margin" anchory="margin"/>
        </v:shape>
      </w:pict>
    </w:r>
    <w:r>
      <w:rPr>
        <w:noProof/>
      </w:rPr>
      <w:pict>
        <v:shape id="_x0000_s5123" type="#_x0000_t136" style="position:absolute;margin-left:0;margin-top:0;width:424.65pt;height:254.7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9F" w:rsidRDefault="00593B05">
    <w:pPr>
      <w:pStyle w:val="Intestazione"/>
    </w:pPr>
    <w:sdt>
      <w:sdtPr>
        <w:id w:val="530250048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131" type="#_x0000_t136" style="position:absolute;margin-left:0;margin-top:0;width:412.4pt;height:247.45pt;rotation:315;z-index:-2516439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>
      <w:rPr>
        <w:noProof/>
      </w:rPr>
      <w:pict>
        <v:shape id="_x0000_s5130" type="#_x0000_t136" style="position:absolute;margin-left:0;margin-top:0;width:424.65pt;height:254.75pt;rotation:315;z-index:-25164595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BOZZA"/>
          <w10:wrap anchorx="margin" anchory="margin"/>
        </v:shape>
      </w:pict>
    </w:r>
    <w:r>
      <w:rPr>
        <w:noProof/>
      </w:rPr>
      <w:pict>
        <v:shape id="_x0000_s5124" type="#_x0000_t136" style="position:absolute;margin-left:0;margin-top:0;width:424.65pt;height:254.7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9F" w:rsidRDefault="00AC18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7FB"/>
    <w:multiLevelType w:val="hybridMultilevel"/>
    <w:tmpl w:val="FAD6827A"/>
    <w:lvl w:ilvl="0" w:tplc="54A6B6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abstractNum w:abstractNumId="1">
    <w:nsid w:val="322E51AE"/>
    <w:multiLevelType w:val="hybridMultilevel"/>
    <w:tmpl w:val="77C062E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DD69A7"/>
    <w:multiLevelType w:val="hybridMultilevel"/>
    <w:tmpl w:val="E522FDBC"/>
    <w:lvl w:ilvl="0" w:tplc="54A6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243E"/>
    <w:multiLevelType w:val="hybridMultilevel"/>
    <w:tmpl w:val="9A1EE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610AD"/>
    <w:rsid w:val="00010135"/>
    <w:rsid w:val="0001311C"/>
    <w:rsid w:val="00022104"/>
    <w:rsid w:val="00033D29"/>
    <w:rsid w:val="00080AFB"/>
    <w:rsid w:val="000872D0"/>
    <w:rsid w:val="0010239A"/>
    <w:rsid w:val="00106985"/>
    <w:rsid w:val="001300B6"/>
    <w:rsid w:val="001420EC"/>
    <w:rsid w:val="00184932"/>
    <w:rsid w:val="00195B08"/>
    <w:rsid w:val="001E107A"/>
    <w:rsid w:val="002234A4"/>
    <w:rsid w:val="002610AD"/>
    <w:rsid w:val="0027762A"/>
    <w:rsid w:val="002C233A"/>
    <w:rsid w:val="003469F3"/>
    <w:rsid w:val="003D562B"/>
    <w:rsid w:val="00400FBA"/>
    <w:rsid w:val="00401116"/>
    <w:rsid w:val="00402BD0"/>
    <w:rsid w:val="00421114"/>
    <w:rsid w:val="00500893"/>
    <w:rsid w:val="005029CB"/>
    <w:rsid w:val="00552313"/>
    <w:rsid w:val="00593B05"/>
    <w:rsid w:val="005C6666"/>
    <w:rsid w:val="00621F6A"/>
    <w:rsid w:val="006925E9"/>
    <w:rsid w:val="006D7733"/>
    <w:rsid w:val="006F7375"/>
    <w:rsid w:val="007609A0"/>
    <w:rsid w:val="0078753D"/>
    <w:rsid w:val="007A0461"/>
    <w:rsid w:val="007A6DB6"/>
    <w:rsid w:val="007A722C"/>
    <w:rsid w:val="00815B4E"/>
    <w:rsid w:val="008306C8"/>
    <w:rsid w:val="00837C44"/>
    <w:rsid w:val="008902D4"/>
    <w:rsid w:val="008A72DB"/>
    <w:rsid w:val="008C2BFD"/>
    <w:rsid w:val="008E63C7"/>
    <w:rsid w:val="008F33C4"/>
    <w:rsid w:val="0090134D"/>
    <w:rsid w:val="009152EF"/>
    <w:rsid w:val="009C6B33"/>
    <w:rsid w:val="009E5F85"/>
    <w:rsid w:val="00A23B8D"/>
    <w:rsid w:val="00A410B8"/>
    <w:rsid w:val="00A44721"/>
    <w:rsid w:val="00A46356"/>
    <w:rsid w:val="00A50721"/>
    <w:rsid w:val="00AC189F"/>
    <w:rsid w:val="00B11D7A"/>
    <w:rsid w:val="00B20386"/>
    <w:rsid w:val="00B74C3F"/>
    <w:rsid w:val="00B8082D"/>
    <w:rsid w:val="00B85DF4"/>
    <w:rsid w:val="00B92D5E"/>
    <w:rsid w:val="00B9794E"/>
    <w:rsid w:val="00BA7D8D"/>
    <w:rsid w:val="00BD2536"/>
    <w:rsid w:val="00BE5FEA"/>
    <w:rsid w:val="00C2694D"/>
    <w:rsid w:val="00CB46E3"/>
    <w:rsid w:val="00CC2B99"/>
    <w:rsid w:val="00CD171E"/>
    <w:rsid w:val="00D27E7B"/>
    <w:rsid w:val="00D560A7"/>
    <w:rsid w:val="00DA21E3"/>
    <w:rsid w:val="00DA7D51"/>
    <w:rsid w:val="00E34DE4"/>
    <w:rsid w:val="00E45BC5"/>
    <w:rsid w:val="00E71C44"/>
    <w:rsid w:val="00EB5811"/>
    <w:rsid w:val="00EB6615"/>
    <w:rsid w:val="00EC5EC7"/>
    <w:rsid w:val="00EE1311"/>
    <w:rsid w:val="00F56D6D"/>
    <w:rsid w:val="00FA5A95"/>
    <w:rsid w:val="00FA7C91"/>
    <w:rsid w:val="00FD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0AD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10AD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C1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189F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89F"/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01CA-A6A5-4BBC-A9C5-D00914F6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bonaccipaolo</dc:creator>
  <cp:keywords/>
  <dc:description/>
  <cp:lastModifiedBy>bonaccipaolo</cp:lastModifiedBy>
  <cp:revision>2</cp:revision>
  <cp:lastPrinted>2013-01-24T17:43:00Z</cp:lastPrinted>
  <dcterms:created xsi:type="dcterms:W3CDTF">2013-01-24T17:52:00Z</dcterms:created>
  <dcterms:modified xsi:type="dcterms:W3CDTF">2013-01-24T17:52:00Z</dcterms:modified>
</cp:coreProperties>
</file>