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F4183" w14:textId="4AF97C73" w:rsidR="001F3CF1" w:rsidRDefault="001F3CF1" w:rsidP="001F3CF1">
      <w:pPr>
        <w:jc w:val="center"/>
        <w:rPr>
          <w:u w:val="single"/>
        </w:rPr>
      </w:pPr>
      <w:r w:rsidRPr="001F3CF1">
        <w:rPr>
          <w:u w:val="single"/>
        </w:rPr>
        <w:t>COMUNICATO STAMPA</w:t>
      </w:r>
    </w:p>
    <w:p w14:paraId="277118BB" w14:textId="77777777" w:rsidR="006C0DE4" w:rsidRPr="00791922" w:rsidRDefault="006C0DE4" w:rsidP="001F3CF1">
      <w:pPr>
        <w:jc w:val="center"/>
        <w:rPr>
          <w:sz w:val="2"/>
          <w:szCs w:val="2"/>
          <w:u w:val="single"/>
        </w:rPr>
      </w:pPr>
    </w:p>
    <w:p w14:paraId="38CE851E" w14:textId="77777777" w:rsidR="009E0B4A" w:rsidRDefault="00F5353C" w:rsidP="00DC1388">
      <w:pPr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FARMACI </w:t>
      </w:r>
      <w:r w:rsidR="003B1EFC">
        <w:rPr>
          <w:b/>
          <w:bCs/>
          <w:sz w:val="24"/>
          <w:szCs w:val="24"/>
        </w:rPr>
        <w:t>ANT</w:t>
      </w:r>
      <w:r>
        <w:rPr>
          <w:b/>
          <w:bCs/>
          <w:sz w:val="24"/>
          <w:szCs w:val="24"/>
        </w:rPr>
        <w:t xml:space="preserve">IPERTENSIVI E </w:t>
      </w:r>
      <w:r w:rsidR="009E0B4A">
        <w:rPr>
          <w:b/>
          <w:bCs/>
          <w:sz w:val="24"/>
          <w:szCs w:val="24"/>
        </w:rPr>
        <w:t>COVID-19</w:t>
      </w:r>
      <w:r>
        <w:rPr>
          <w:b/>
          <w:bCs/>
          <w:sz w:val="24"/>
          <w:szCs w:val="24"/>
        </w:rPr>
        <w:t xml:space="preserve">: </w:t>
      </w:r>
      <w:r w:rsidR="00B41A07">
        <w:rPr>
          <w:b/>
          <w:bCs/>
          <w:sz w:val="24"/>
          <w:szCs w:val="24"/>
        </w:rPr>
        <w:t>NESSUN RISCHIO PER I PAZIENTI IN TRATTAMENTO</w:t>
      </w:r>
    </w:p>
    <w:p w14:paraId="65D598CD" w14:textId="77777777" w:rsidR="00B41A07" w:rsidRPr="00B41A07" w:rsidRDefault="00B41A07" w:rsidP="00DC1388">
      <w:pPr>
        <w:spacing w:after="0"/>
        <w:ind w:firstLine="708"/>
        <w:jc w:val="center"/>
        <w:rPr>
          <w:b/>
          <w:bCs/>
          <w:sz w:val="10"/>
          <w:szCs w:val="10"/>
        </w:rPr>
      </w:pPr>
    </w:p>
    <w:p w14:paraId="4E53E68F" w14:textId="4EE65EEF" w:rsidR="00B41A07" w:rsidRDefault="00574251" w:rsidP="00DC1388">
      <w:pPr>
        <w:spacing w:after="0"/>
        <w:ind w:firstLine="708"/>
        <w:jc w:val="center"/>
        <w:rPr>
          <w:b/>
          <w:bCs/>
          <w:sz w:val="24"/>
          <w:szCs w:val="24"/>
        </w:rPr>
      </w:pPr>
      <w:r w:rsidRPr="00D43373">
        <w:rPr>
          <w:b/>
          <w:bCs/>
          <w:sz w:val="24"/>
          <w:szCs w:val="24"/>
        </w:rPr>
        <w:t xml:space="preserve">UNO STUDIO COLLABORATIVO MULTI </w:t>
      </w:r>
      <w:r w:rsidR="00DC1388" w:rsidRPr="00D43373">
        <w:rPr>
          <w:b/>
          <w:bCs/>
          <w:sz w:val="24"/>
          <w:szCs w:val="24"/>
        </w:rPr>
        <w:t>ISTITUZIONALE</w:t>
      </w:r>
      <w:r w:rsidR="00DC1388">
        <w:rPr>
          <w:b/>
          <w:bCs/>
          <w:sz w:val="24"/>
          <w:szCs w:val="24"/>
        </w:rPr>
        <w:t xml:space="preserve"> EVIDENZIA</w:t>
      </w:r>
      <w:r w:rsidR="00B41A07">
        <w:rPr>
          <w:b/>
          <w:bCs/>
          <w:sz w:val="24"/>
          <w:szCs w:val="24"/>
        </w:rPr>
        <w:t xml:space="preserve"> CHE L’ASSUNZIONE DI ACE-INIBITORI E SARTANI NON ESPONE A MAGGIORE PROBABILITÀ DI CONTRARRE L’INFEZIONE COVID-19</w:t>
      </w:r>
    </w:p>
    <w:p w14:paraId="03C0DFFC" w14:textId="77777777" w:rsidR="00551D00" w:rsidRPr="00B41A07" w:rsidRDefault="00551D00" w:rsidP="006C0DE4">
      <w:pPr>
        <w:jc w:val="center"/>
        <w:rPr>
          <w:b/>
          <w:bCs/>
          <w:sz w:val="14"/>
          <w:szCs w:val="14"/>
        </w:rPr>
      </w:pPr>
    </w:p>
    <w:p w14:paraId="195D6678" w14:textId="05C26B52" w:rsidR="009E0B4A" w:rsidRPr="009E0B4A" w:rsidRDefault="00F5353C" w:rsidP="00DC1388">
      <w:pPr>
        <w:pStyle w:val="Paragrafoelenco"/>
        <w:numPr>
          <w:ilvl w:val="0"/>
          <w:numId w:val="4"/>
        </w:numPr>
        <w:ind w:left="709" w:hanging="283"/>
        <w:rPr>
          <w:i/>
          <w:iCs/>
        </w:rPr>
      </w:pPr>
      <w:r w:rsidRPr="00D43373">
        <w:rPr>
          <w:i/>
          <w:iCs/>
        </w:rPr>
        <w:t>Uno studio condotto dall’Università di Milano</w:t>
      </w:r>
      <w:r w:rsidR="00B41A07" w:rsidRPr="00D43373">
        <w:rPr>
          <w:i/>
          <w:iCs/>
        </w:rPr>
        <w:t>-</w:t>
      </w:r>
      <w:r w:rsidR="00574251" w:rsidRPr="00D43373">
        <w:rPr>
          <w:i/>
          <w:iCs/>
        </w:rPr>
        <w:t xml:space="preserve">Bicocca, </w:t>
      </w:r>
      <w:r w:rsidR="006631D5">
        <w:rPr>
          <w:i/>
          <w:iCs/>
        </w:rPr>
        <w:t xml:space="preserve">in collaborazione con </w:t>
      </w:r>
      <w:r w:rsidR="001E19D3">
        <w:rPr>
          <w:i/>
          <w:iCs/>
        </w:rPr>
        <w:t>l’Istituto Nazionale dei Tumori di Milano</w:t>
      </w:r>
      <w:r w:rsidR="00392B57">
        <w:rPr>
          <w:i/>
          <w:iCs/>
        </w:rPr>
        <w:t xml:space="preserve"> (INT)</w:t>
      </w:r>
      <w:r w:rsidR="001E19D3">
        <w:rPr>
          <w:i/>
          <w:iCs/>
        </w:rPr>
        <w:t xml:space="preserve"> </w:t>
      </w:r>
      <w:r w:rsidR="00392B57">
        <w:rPr>
          <w:i/>
          <w:iCs/>
        </w:rPr>
        <w:t>e</w:t>
      </w:r>
      <w:r w:rsidR="00574251" w:rsidRPr="00D43373">
        <w:t xml:space="preserve"> </w:t>
      </w:r>
      <w:r w:rsidR="00574251" w:rsidRPr="00265EF6">
        <w:rPr>
          <w:bCs/>
          <w:i/>
          <w:iCs/>
        </w:rPr>
        <w:t>Agenzia Regionale ARIA</w:t>
      </w:r>
      <w:r w:rsidR="00574251" w:rsidRPr="006C3030">
        <w:rPr>
          <w:b/>
        </w:rPr>
        <w:t xml:space="preserve"> </w:t>
      </w:r>
      <w:r w:rsidR="005C1C98" w:rsidRPr="005C1C98">
        <w:rPr>
          <w:rFonts w:cstheme="minorHAnsi"/>
          <w:bCs/>
          <w:i/>
          <w:iCs/>
          <w:color w:val="000000" w:themeColor="text1"/>
        </w:rPr>
        <w:t>(</w:t>
      </w:r>
      <w:r w:rsidR="005C1C98" w:rsidRPr="005C1C98">
        <w:rPr>
          <w:rFonts w:cstheme="minorHAnsi"/>
          <w:bCs/>
          <w:i/>
          <w:iCs/>
          <w:color w:val="000000" w:themeColor="text1"/>
          <w:shd w:val="clear" w:color="auto" w:fill="FFFFFF"/>
        </w:rPr>
        <w:t>Azienda </w:t>
      </w:r>
      <w:r w:rsidR="005C1C98" w:rsidRPr="00392B57">
        <w:rPr>
          <w:rStyle w:val="Enfasicorsivo"/>
          <w:rFonts w:cstheme="minorHAnsi"/>
          <w:bCs/>
          <w:color w:val="000000" w:themeColor="text1"/>
          <w:shd w:val="clear" w:color="auto" w:fill="FFFFFF"/>
        </w:rPr>
        <w:t>Regionale</w:t>
      </w:r>
      <w:r w:rsidR="005C1C98" w:rsidRPr="005C1C98">
        <w:rPr>
          <w:rFonts w:cstheme="minorHAnsi"/>
          <w:bCs/>
          <w:i/>
          <w:iCs/>
          <w:color w:val="000000" w:themeColor="text1"/>
          <w:shd w:val="clear" w:color="auto" w:fill="FFFFFF"/>
        </w:rPr>
        <w:t> per l'Innovazione e gli Acquisti)</w:t>
      </w:r>
      <w:r w:rsidR="005C1C98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5C1C98">
        <w:rPr>
          <w:i/>
          <w:iCs/>
        </w:rPr>
        <w:t xml:space="preserve"> </w:t>
      </w:r>
      <w:r>
        <w:rPr>
          <w:i/>
          <w:iCs/>
        </w:rPr>
        <w:t>evidenzia come</w:t>
      </w:r>
      <w:r w:rsidR="001C630D">
        <w:rPr>
          <w:i/>
          <w:iCs/>
        </w:rPr>
        <w:t xml:space="preserve"> non vi siano prove del fatto che</w:t>
      </w:r>
      <w:r>
        <w:rPr>
          <w:i/>
          <w:iCs/>
        </w:rPr>
        <w:t xml:space="preserve"> </w:t>
      </w:r>
      <w:r w:rsidR="001C630D">
        <w:rPr>
          <w:i/>
          <w:iCs/>
        </w:rPr>
        <w:t xml:space="preserve">ACE-inibitori e </w:t>
      </w:r>
      <w:r w:rsidR="00E92EC5">
        <w:rPr>
          <w:i/>
          <w:iCs/>
        </w:rPr>
        <w:t xml:space="preserve">sartani, </w:t>
      </w:r>
      <w:r>
        <w:rPr>
          <w:i/>
          <w:iCs/>
        </w:rPr>
        <w:t>farmaci comunemente utilizzati per l’ipertensione arteriosa</w:t>
      </w:r>
      <w:r w:rsidR="001C630D">
        <w:rPr>
          <w:i/>
          <w:iCs/>
        </w:rPr>
        <w:t xml:space="preserve">, </w:t>
      </w:r>
      <w:r w:rsidR="001E19D3">
        <w:rPr>
          <w:i/>
          <w:iCs/>
        </w:rPr>
        <w:t xml:space="preserve">lo scompenso cardiaco e il post-infarto </w:t>
      </w:r>
      <w:r>
        <w:rPr>
          <w:i/>
          <w:iCs/>
        </w:rPr>
        <w:t>favoriscano o aggravino l’infezione da C</w:t>
      </w:r>
      <w:r w:rsidR="00AB758F">
        <w:rPr>
          <w:i/>
          <w:iCs/>
        </w:rPr>
        <w:t>OVID</w:t>
      </w:r>
      <w:r>
        <w:rPr>
          <w:i/>
          <w:iCs/>
        </w:rPr>
        <w:t xml:space="preserve">-19 come </w:t>
      </w:r>
      <w:r w:rsidR="00CD5D3B">
        <w:rPr>
          <w:i/>
          <w:iCs/>
        </w:rPr>
        <w:t>invece era stato</w:t>
      </w:r>
      <w:r>
        <w:rPr>
          <w:i/>
          <w:iCs/>
        </w:rPr>
        <w:t xml:space="preserve"> affermato nell</w:t>
      </w:r>
      <w:r w:rsidR="001C630D">
        <w:rPr>
          <w:i/>
          <w:iCs/>
        </w:rPr>
        <w:t>a</w:t>
      </w:r>
      <w:r>
        <w:rPr>
          <w:i/>
          <w:iCs/>
        </w:rPr>
        <w:t xml:space="preserve"> prima fase di diffusione del</w:t>
      </w:r>
      <w:r w:rsidR="001C630D">
        <w:rPr>
          <w:i/>
          <w:iCs/>
        </w:rPr>
        <w:t xml:space="preserve">l’epidemia </w:t>
      </w:r>
    </w:p>
    <w:p w14:paraId="2F30CB9B" w14:textId="12729C73" w:rsidR="001C630D" w:rsidRPr="00D43373" w:rsidRDefault="009E0B4A" w:rsidP="00DC1388">
      <w:pPr>
        <w:pStyle w:val="Paragrafoelenco"/>
        <w:numPr>
          <w:ilvl w:val="0"/>
          <w:numId w:val="4"/>
        </w:numPr>
        <w:ind w:left="709" w:hanging="283"/>
        <w:jc w:val="both"/>
      </w:pPr>
      <w:r w:rsidRPr="001C630D">
        <w:rPr>
          <w:i/>
          <w:iCs/>
        </w:rPr>
        <w:t xml:space="preserve">Pubblicato </w:t>
      </w:r>
      <w:r w:rsidR="004D0175" w:rsidRPr="001C630D">
        <w:rPr>
          <w:i/>
          <w:iCs/>
        </w:rPr>
        <w:t>sul New England Journal of Medicine</w:t>
      </w:r>
      <w:r w:rsidRPr="001C630D">
        <w:rPr>
          <w:i/>
          <w:iCs/>
        </w:rPr>
        <w:t xml:space="preserve">, </w:t>
      </w:r>
      <w:r w:rsidR="003B1EFC">
        <w:rPr>
          <w:i/>
          <w:iCs/>
        </w:rPr>
        <w:t>q</w:t>
      </w:r>
      <w:r w:rsidR="003B1EFC" w:rsidRPr="003B1EFC">
        <w:rPr>
          <w:i/>
          <w:iCs/>
        </w:rPr>
        <w:t xml:space="preserve">uesto studio caso-controllo </w:t>
      </w:r>
      <w:r w:rsidR="003B1EFC">
        <w:rPr>
          <w:i/>
          <w:iCs/>
        </w:rPr>
        <w:t>è stato condotto sulla popolazione della Regione Lombardia e</w:t>
      </w:r>
      <w:r w:rsidR="003B1EFC" w:rsidRPr="003B1EFC">
        <w:rPr>
          <w:i/>
          <w:iCs/>
        </w:rPr>
        <w:t xml:space="preserve"> mostra che l'uso di </w:t>
      </w:r>
      <w:r w:rsidR="003B1EFC">
        <w:rPr>
          <w:i/>
          <w:iCs/>
        </w:rPr>
        <w:t xml:space="preserve">farmaci antipertensivi </w:t>
      </w:r>
      <w:r w:rsidR="003B1EFC" w:rsidRPr="003B1EFC">
        <w:rPr>
          <w:i/>
          <w:iCs/>
        </w:rPr>
        <w:t>è più frequente tra i pazienti con Covid-19 a causa di una maggiore prevalenza di malattie cardiovascolari</w:t>
      </w:r>
      <w:r w:rsidR="00574251">
        <w:rPr>
          <w:i/>
          <w:iCs/>
        </w:rPr>
        <w:t xml:space="preserve"> </w:t>
      </w:r>
      <w:r w:rsidR="00574251" w:rsidRPr="00D43373">
        <w:rPr>
          <w:i/>
          <w:iCs/>
        </w:rPr>
        <w:t>ma che questi farmaci non ne favoriscono l’insorgenza e non peggiorano la prognosi</w:t>
      </w:r>
    </w:p>
    <w:p w14:paraId="7DFFD41E" w14:textId="77777777" w:rsidR="001C630D" w:rsidRPr="001F630C" w:rsidRDefault="001C630D" w:rsidP="001C630D">
      <w:pPr>
        <w:jc w:val="both"/>
        <w:rPr>
          <w:b/>
          <w:i/>
          <w:iCs/>
          <w:sz w:val="10"/>
          <w:szCs w:val="10"/>
        </w:rPr>
      </w:pPr>
    </w:p>
    <w:p w14:paraId="5A7988CB" w14:textId="76D4CA24" w:rsidR="00177962" w:rsidRDefault="001F3CF1" w:rsidP="00913565">
      <w:pPr>
        <w:jc w:val="both"/>
      </w:pPr>
      <w:r w:rsidRPr="00DC1388">
        <w:rPr>
          <w:bCs/>
          <w:i/>
          <w:iCs/>
        </w:rPr>
        <w:t xml:space="preserve">Milano, </w:t>
      </w:r>
      <w:r w:rsidR="00B21BEA" w:rsidRPr="00DC1388">
        <w:rPr>
          <w:bCs/>
          <w:i/>
          <w:iCs/>
        </w:rPr>
        <w:t>15</w:t>
      </w:r>
      <w:r w:rsidR="00FD63CC" w:rsidRPr="00DC1388">
        <w:rPr>
          <w:bCs/>
          <w:i/>
          <w:iCs/>
        </w:rPr>
        <w:t xml:space="preserve"> maggio </w:t>
      </w:r>
      <w:r w:rsidRPr="00DC1388">
        <w:rPr>
          <w:bCs/>
          <w:i/>
          <w:iCs/>
        </w:rPr>
        <w:t>2020</w:t>
      </w:r>
      <w:r>
        <w:t xml:space="preserve"> –</w:t>
      </w:r>
      <w:r w:rsidR="003B1EFC">
        <w:t xml:space="preserve"> </w:t>
      </w:r>
      <w:r w:rsidR="00FD63CC" w:rsidRPr="00177962">
        <w:rPr>
          <w:b/>
          <w:bCs/>
        </w:rPr>
        <w:t>Sartani e ACE-inibitori</w:t>
      </w:r>
      <w:r w:rsidR="00913565">
        <w:t xml:space="preserve">, </w:t>
      </w:r>
      <w:r w:rsidR="00913565" w:rsidRPr="00913565">
        <w:t xml:space="preserve">farmaci diffusamente utilizzati </w:t>
      </w:r>
      <w:r w:rsidR="00913565" w:rsidRPr="00177962">
        <w:rPr>
          <w:b/>
          <w:bCs/>
        </w:rPr>
        <w:t xml:space="preserve">per la </w:t>
      </w:r>
      <w:r w:rsidR="00BB46EF">
        <w:rPr>
          <w:b/>
          <w:bCs/>
        </w:rPr>
        <w:t xml:space="preserve">gestione </w:t>
      </w:r>
      <w:r w:rsidR="00913565" w:rsidRPr="00177962">
        <w:rPr>
          <w:b/>
          <w:bCs/>
        </w:rPr>
        <w:t>dell’ipertensione arteriosa</w:t>
      </w:r>
      <w:r w:rsidR="00913565" w:rsidRPr="00913565">
        <w:t xml:space="preserve">, </w:t>
      </w:r>
      <w:r w:rsidR="00FD63CC" w:rsidRPr="00177962">
        <w:rPr>
          <w:b/>
          <w:bCs/>
        </w:rPr>
        <w:t>non s</w:t>
      </w:r>
      <w:r w:rsidR="00913565" w:rsidRPr="00177962">
        <w:rPr>
          <w:b/>
          <w:bCs/>
        </w:rPr>
        <w:t xml:space="preserve">ono responsabili </w:t>
      </w:r>
      <w:r w:rsidR="00CA685C">
        <w:rPr>
          <w:b/>
          <w:bCs/>
        </w:rPr>
        <w:t xml:space="preserve">di una maggiore esposizione al rischio di infezione da COVID-19 o </w:t>
      </w:r>
      <w:r w:rsidR="00913565" w:rsidRPr="00177962">
        <w:rPr>
          <w:b/>
          <w:bCs/>
        </w:rPr>
        <w:t xml:space="preserve">dell’aggravamento dei </w:t>
      </w:r>
      <w:r w:rsidR="00CA685C">
        <w:rPr>
          <w:b/>
          <w:bCs/>
        </w:rPr>
        <w:t xml:space="preserve">suoi </w:t>
      </w:r>
      <w:r w:rsidR="00913565" w:rsidRPr="00177962">
        <w:rPr>
          <w:b/>
          <w:bCs/>
        </w:rPr>
        <w:t>sintomi</w:t>
      </w:r>
      <w:r w:rsidR="00913565">
        <w:t>. È questa la conclusione di uno studio</w:t>
      </w:r>
      <w:r w:rsidR="00AB758F">
        <w:rPr>
          <w:rStyle w:val="Rimandonotadichiusura"/>
        </w:rPr>
        <w:endnoteReference w:id="1"/>
      </w:r>
      <w:r w:rsidR="00913565">
        <w:t xml:space="preserve"> condotto da</w:t>
      </w:r>
      <w:r w:rsidR="00AB758F">
        <w:t xml:space="preserve"> un</w:t>
      </w:r>
      <w:r w:rsidR="00913565">
        <w:t xml:space="preserve"> team di ricercatori </w:t>
      </w:r>
      <w:r w:rsidR="006C3030" w:rsidRPr="00D43373">
        <w:t>dell’</w:t>
      </w:r>
      <w:r w:rsidR="006C3030" w:rsidRPr="00D43373">
        <w:rPr>
          <w:b/>
          <w:bCs/>
        </w:rPr>
        <w:t xml:space="preserve">Università di Milano-Bicocca, </w:t>
      </w:r>
      <w:r w:rsidR="001E19D3" w:rsidRPr="00D43373">
        <w:t xml:space="preserve">in collaborazione con </w:t>
      </w:r>
      <w:r w:rsidR="00913565" w:rsidRPr="00D43373">
        <w:t>l’</w:t>
      </w:r>
      <w:r w:rsidR="00913565" w:rsidRPr="00D43373">
        <w:rPr>
          <w:b/>
          <w:bCs/>
        </w:rPr>
        <w:t>Istituto Nazionale dei Tumori di Milano</w:t>
      </w:r>
      <w:r w:rsidR="006C3030" w:rsidRPr="00D43373">
        <w:t xml:space="preserve"> (INT) </w:t>
      </w:r>
      <w:r w:rsidR="001E19D3">
        <w:t>e</w:t>
      </w:r>
      <w:r w:rsidR="006C3030" w:rsidRPr="00D43373">
        <w:t xml:space="preserve"> l</w:t>
      </w:r>
      <w:r w:rsidR="001E19D3">
        <w:t>’</w:t>
      </w:r>
      <w:r w:rsidR="006C3030" w:rsidRPr="00D43373">
        <w:rPr>
          <w:b/>
        </w:rPr>
        <w:t>Agenzia Regionale ARIA</w:t>
      </w:r>
      <w:r w:rsidR="006C3030" w:rsidRPr="006C3030">
        <w:rPr>
          <w:b/>
        </w:rPr>
        <w:t xml:space="preserve"> </w:t>
      </w:r>
      <w:r w:rsidR="00392B57" w:rsidRPr="005C1C98">
        <w:rPr>
          <w:rFonts w:cstheme="minorHAnsi"/>
          <w:bCs/>
          <w:i/>
          <w:iCs/>
          <w:color w:val="000000" w:themeColor="text1"/>
        </w:rPr>
        <w:t>(</w:t>
      </w:r>
      <w:r w:rsidR="00392B57" w:rsidRPr="005C1C98">
        <w:rPr>
          <w:rFonts w:cstheme="minorHAnsi"/>
          <w:bCs/>
          <w:i/>
          <w:iCs/>
          <w:color w:val="000000" w:themeColor="text1"/>
          <w:shd w:val="clear" w:color="auto" w:fill="FFFFFF"/>
        </w:rPr>
        <w:t>Azienda </w:t>
      </w:r>
      <w:r w:rsidR="00392B57" w:rsidRPr="00392B57">
        <w:rPr>
          <w:rStyle w:val="Enfasicorsivo"/>
          <w:rFonts w:cstheme="minorHAnsi"/>
          <w:bCs/>
          <w:color w:val="000000" w:themeColor="text1"/>
          <w:shd w:val="clear" w:color="auto" w:fill="FFFFFF"/>
        </w:rPr>
        <w:t>Regionale</w:t>
      </w:r>
      <w:r w:rsidR="00392B57" w:rsidRPr="005C1C98">
        <w:rPr>
          <w:rFonts w:cstheme="minorHAnsi"/>
          <w:bCs/>
          <w:i/>
          <w:iCs/>
          <w:color w:val="000000" w:themeColor="text1"/>
          <w:shd w:val="clear" w:color="auto" w:fill="FFFFFF"/>
        </w:rPr>
        <w:t> per l'Innovazione e gli Acquisti)</w:t>
      </w:r>
      <w:r w:rsidR="00392B57">
        <w:rPr>
          <w:i/>
          <w:iCs/>
        </w:rPr>
        <w:t xml:space="preserve"> </w:t>
      </w:r>
      <w:r w:rsidR="00177962" w:rsidRPr="00177962">
        <w:t xml:space="preserve">che </w:t>
      </w:r>
      <w:r w:rsidR="00177962">
        <w:t xml:space="preserve">smentisce </w:t>
      </w:r>
      <w:r w:rsidR="00177962" w:rsidRPr="00177962">
        <w:t>le</w:t>
      </w:r>
      <w:r w:rsidR="00177962">
        <w:t xml:space="preserve"> allarmanti </w:t>
      </w:r>
      <w:r w:rsidR="00177962" w:rsidRPr="00177962">
        <w:t xml:space="preserve">notizie </w:t>
      </w:r>
      <w:r w:rsidR="00177962">
        <w:t xml:space="preserve">diffuse nella prima fase dell’epidemia secondo le quali proprio </w:t>
      </w:r>
      <w:r w:rsidR="00CA685C">
        <w:t xml:space="preserve">la classe di farmaci </w:t>
      </w:r>
      <w:r w:rsidR="00CD5D3B">
        <w:t>ant</w:t>
      </w:r>
      <w:r w:rsidR="00177962">
        <w:t>ipertensivi</w:t>
      </w:r>
      <w:r w:rsidR="00CA685C">
        <w:t xml:space="preserve"> avrebbe</w:t>
      </w:r>
      <w:r w:rsidR="00177962">
        <w:t xml:space="preserve"> favori</w:t>
      </w:r>
      <w:r w:rsidR="00CA685C">
        <w:t>to</w:t>
      </w:r>
      <w:r w:rsidR="00177962">
        <w:t xml:space="preserve"> il rischio di contrarre il virus o </w:t>
      </w:r>
      <w:r w:rsidR="00CA685C">
        <w:t xml:space="preserve">comunque </w:t>
      </w:r>
      <w:r w:rsidR="00177962">
        <w:t>contribui</w:t>
      </w:r>
      <w:r w:rsidR="00CA685C">
        <w:t>to</w:t>
      </w:r>
      <w:r w:rsidR="00177962">
        <w:t xml:space="preserve"> a peggiorarne la sintomatologia. </w:t>
      </w:r>
    </w:p>
    <w:p w14:paraId="0381C45E" w14:textId="77777777" w:rsidR="00A9720F" w:rsidRPr="00DD14A2" w:rsidRDefault="007376C1" w:rsidP="00A9720F">
      <w:pPr>
        <w:jc w:val="both"/>
        <w:rPr>
          <w:i/>
          <w:iCs/>
        </w:rPr>
      </w:pPr>
      <w:r w:rsidRPr="00C959C2">
        <w:rPr>
          <w:i/>
          <w:iCs/>
        </w:rPr>
        <w:t>“</w:t>
      </w:r>
      <w:r w:rsidR="00A9720F" w:rsidRPr="00C959C2">
        <w:rPr>
          <w:i/>
          <w:iCs/>
        </w:rPr>
        <w:t>Gli antagonisti del recettore dell'angiotensina</w:t>
      </w:r>
      <w:r w:rsidR="008B2AD5" w:rsidRPr="00C959C2">
        <w:rPr>
          <w:i/>
          <w:iCs/>
        </w:rPr>
        <w:t>, i cosiddetti sartani,</w:t>
      </w:r>
      <w:r w:rsidR="00A9720F" w:rsidRPr="00C959C2">
        <w:rPr>
          <w:i/>
          <w:iCs/>
        </w:rPr>
        <w:t xml:space="preserve"> e gli ACE-inibitori sono </w:t>
      </w:r>
      <w:r w:rsidR="00CA685C" w:rsidRPr="00C959C2">
        <w:rPr>
          <w:i/>
          <w:iCs/>
        </w:rPr>
        <w:t>tra i farmaci più utilizzati al mondo</w:t>
      </w:r>
      <w:r w:rsidR="008B2AD5" w:rsidRPr="00C959C2">
        <w:rPr>
          <w:i/>
          <w:iCs/>
        </w:rPr>
        <w:t xml:space="preserve"> </w:t>
      </w:r>
      <w:r w:rsidR="00DD14A2">
        <w:rPr>
          <w:i/>
          <w:iCs/>
        </w:rPr>
        <w:t>come trattamenti di prima scelta</w:t>
      </w:r>
      <w:r w:rsidR="00A9720F" w:rsidRPr="00C959C2">
        <w:rPr>
          <w:i/>
          <w:iCs/>
        </w:rPr>
        <w:t xml:space="preserve"> per il controllo d</w:t>
      </w:r>
      <w:r w:rsidR="00C959C2" w:rsidRPr="00C959C2">
        <w:rPr>
          <w:i/>
          <w:iCs/>
        </w:rPr>
        <w:t xml:space="preserve">i </w:t>
      </w:r>
      <w:r w:rsidR="00A9720F" w:rsidRPr="00C959C2">
        <w:rPr>
          <w:i/>
          <w:iCs/>
        </w:rPr>
        <w:t xml:space="preserve">ipertensione, </w:t>
      </w:r>
      <w:r w:rsidR="008B2AD5" w:rsidRPr="00C959C2">
        <w:rPr>
          <w:i/>
          <w:iCs/>
        </w:rPr>
        <w:t xml:space="preserve">scompenso </w:t>
      </w:r>
      <w:r w:rsidR="00A9720F" w:rsidRPr="00C959C2">
        <w:rPr>
          <w:i/>
          <w:iCs/>
        </w:rPr>
        <w:t>cardiac</w:t>
      </w:r>
      <w:r w:rsidR="008B2AD5" w:rsidRPr="00C959C2">
        <w:rPr>
          <w:i/>
          <w:iCs/>
        </w:rPr>
        <w:t>o</w:t>
      </w:r>
      <w:r w:rsidR="00A9720F" w:rsidRPr="00C959C2">
        <w:rPr>
          <w:i/>
          <w:iCs/>
        </w:rPr>
        <w:t>, malattie renali croniche e altre patologie cardiovascolari</w:t>
      </w:r>
      <w:r w:rsidR="008B2AD5" w:rsidRPr="00C959C2">
        <w:rPr>
          <w:i/>
          <w:iCs/>
        </w:rPr>
        <w:t>. Questi farmaci sono capaci di aumentare l'espressione dell’enzima ACE2, considerato una porta d’ingresso per i virus della famiglia Coronavirus e</w:t>
      </w:r>
      <w:r w:rsidR="00C959C2" w:rsidRPr="00C959C2">
        <w:rPr>
          <w:i/>
          <w:iCs/>
        </w:rPr>
        <w:t>,</w:t>
      </w:r>
      <w:r w:rsidR="008B2AD5" w:rsidRPr="00C959C2">
        <w:rPr>
          <w:i/>
          <w:iCs/>
        </w:rPr>
        <w:t xml:space="preserve"> da qui</w:t>
      </w:r>
      <w:r w:rsidR="00C959C2" w:rsidRPr="00C959C2">
        <w:rPr>
          <w:i/>
          <w:iCs/>
        </w:rPr>
        <w:t>,</w:t>
      </w:r>
      <w:r w:rsidR="008B2AD5" w:rsidRPr="00C959C2">
        <w:rPr>
          <w:i/>
          <w:iCs/>
        </w:rPr>
        <w:t xml:space="preserve"> è nata l’ipotesi </w:t>
      </w:r>
      <w:r w:rsidR="00C959C2" w:rsidRPr="00C959C2">
        <w:rPr>
          <w:i/>
          <w:iCs/>
        </w:rPr>
        <w:t xml:space="preserve">che i pazienti </w:t>
      </w:r>
      <w:r w:rsidR="00DD14A2">
        <w:rPr>
          <w:i/>
          <w:iCs/>
        </w:rPr>
        <w:t>curati con queste</w:t>
      </w:r>
      <w:r w:rsidR="00C959C2" w:rsidRPr="00C959C2">
        <w:rPr>
          <w:i/>
          <w:iCs/>
        </w:rPr>
        <w:t xml:space="preserve"> terapie </w:t>
      </w:r>
      <w:r w:rsidR="008B2AD5" w:rsidRPr="00C959C2">
        <w:rPr>
          <w:rFonts w:eastAsia="Times New Roman" w:cstheme="minorHAnsi"/>
          <w:i/>
          <w:iCs/>
        </w:rPr>
        <w:t>potesse</w:t>
      </w:r>
      <w:r w:rsidR="00C959C2" w:rsidRPr="00C959C2">
        <w:rPr>
          <w:rFonts w:eastAsia="Times New Roman" w:cstheme="minorHAnsi"/>
          <w:i/>
          <w:iCs/>
        </w:rPr>
        <w:t xml:space="preserve">ro essere maggiormente a rischio </w:t>
      </w:r>
      <w:r w:rsidR="008B2AD5" w:rsidRPr="00C959C2">
        <w:rPr>
          <w:rFonts w:eastAsia="Times New Roman" w:cstheme="minorHAnsi"/>
          <w:i/>
          <w:iCs/>
        </w:rPr>
        <w:t xml:space="preserve">di infezione </w:t>
      </w:r>
      <w:r w:rsidR="00C959C2" w:rsidRPr="00C959C2">
        <w:rPr>
          <w:rFonts w:eastAsia="Times New Roman" w:cstheme="minorHAnsi"/>
          <w:i/>
          <w:iCs/>
        </w:rPr>
        <w:t>da COVID-19</w:t>
      </w:r>
      <w:r w:rsidR="00CA685C">
        <w:t xml:space="preserve">” – commenta </w:t>
      </w:r>
      <w:r w:rsidR="00CA685C" w:rsidRPr="00CA685C">
        <w:rPr>
          <w:b/>
          <w:bCs/>
        </w:rPr>
        <w:t>Giuseppe Mancia, Professore Emerito all’Università degli Studi Milano-Bicocca</w:t>
      </w:r>
      <w:r w:rsidR="00CA685C">
        <w:rPr>
          <w:b/>
          <w:bCs/>
        </w:rPr>
        <w:t>.</w:t>
      </w:r>
      <w:r w:rsidR="00CA685C">
        <w:t xml:space="preserve"> </w:t>
      </w:r>
      <w:r w:rsidR="008B2AD5">
        <w:t>–</w:t>
      </w:r>
      <w:r w:rsidR="00CA685C">
        <w:t xml:space="preserve"> </w:t>
      </w:r>
      <w:r w:rsidR="008B2AD5">
        <w:t>“</w:t>
      </w:r>
      <w:r w:rsidR="00BB46EF" w:rsidRPr="00BB46EF">
        <w:rPr>
          <w:i/>
          <w:iCs/>
        </w:rPr>
        <w:t xml:space="preserve">Lo studio ha invece mostrato che </w:t>
      </w:r>
      <w:r w:rsidR="00BB46EF" w:rsidRPr="00BB46EF">
        <w:rPr>
          <w:rFonts w:eastAsia="Times New Roman" w:cstheme="minorHAnsi"/>
          <w:i/>
          <w:iCs/>
        </w:rPr>
        <w:t>non c’è nessun elemento di evidenza specifico</w:t>
      </w:r>
      <w:r w:rsidR="00BB46EF">
        <w:rPr>
          <w:rFonts w:eastAsia="Times New Roman" w:cstheme="minorHAnsi"/>
          <w:i/>
          <w:iCs/>
        </w:rPr>
        <w:t xml:space="preserve"> a indicare </w:t>
      </w:r>
      <w:r w:rsidR="00BB46EF" w:rsidRPr="00BB46EF">
        <w:rPr>
          <w:rFonts w:eastAsia="Times New Roman" w:cstheme="minorHAnsi"/>
          <w:i/>
          <w:iCs/>
        </w:rPr>
        <w:t>che chi</w:t>
      </w:r>
      <w:r w:rsidR="00BB46EF">
        <w:rPr>
          <w:rFonts w:eastAsia="Times New Roman" w:cstheme="minorHAnsi"/>
          <w:i/>
          <w:iCs/>
        </w:rPr>
        <w:t xml:space="preserve"> è in cura con</w:t>
      </w:r>
      <w:r w:rsidR="00BB46EF" w:rsidRPr="00BB46EF">
        <w:rPr>
          <w:rFonts w:eastAsia="Times New Roman" w:cstheme="minorHAnsi"/>
          <w:i/>
          <w:iCs/>
        </w:rPr>
        <w:t xml:space="preserve"> questi farmaci abbia un rischio diverso di contrarre il virus rispetto a chi non è in trattamento</w:t>
      </w:r>
      <w:r w:rsidR="00BB46EF">
        <w:rPr>
          <w:rFonts w:eastAsia="Times New Roman" w:cstheme="minorHAnsi"/>
        </w:rPr>
        <w:t>”.</w:t>
      </w:r>
      <w:r w:rsidR="006C3030">
        <w:rPr>
          <w:rFonts w:eastAsia="Times New Roman" w:cstheme="minorHAnsi"/>
        </w:rPr>
        <w:t xml:space="preserve"> </w:t>
      </w:r>
      <w:r w:rsidR="006C3030" w:rsidRPr="00D43373">
        <w:rPr>
          <w:i/>
          <w:iCs/>
        </w:rPr>
        <w:t xml:space="preserve">“È emerso che, rispetto al gruppo dei controlli, i pazienti affetti da COVID-19 fanno un uso </w:t>
      </w:r>
      <w:r w:rsidR="006C3030" w:rsidRPr="00D43373">
        <w:rPr>
          <w:rFonts w:eastAsia="Times New Roman" w:cstheme="minorHAnsi"/>
          <w:i/>
          <w:iCs/>
        </w:rPr>
        <w:t>maggiore del 10-13% di ACE-inibitori e sartani, ma anche di altri antipertensivi, come betabloccanti e diuretici, e di altri farmaci come gli antidiabetici. Ciò ha messo in luce che i pazienti che hanno contratto il virus sono quelli che, preferenzialmente, hanno uno stato di salute in qualche modo già compromesso, di cui il maggiore consumo di farmaci è un riflesso</w:t>
      </w:r>
      <w:r w:rsidR="006C3030" w:rsidRPr="00D43373">
        <w:t>”.</w:t>
      </w:r>
    </w:p>
    <w:p w14:paraId="2456FDDA" w14:textId="77777777" w:rsidR="004704E0" w:rsidRDefault="00E92EC5" w:rsidP="00A9720F">
      <w:pPr>
        <w:jc w:val="both"/>
      </w:pPr>
      <w:r>
        <w:rPr>
          <w:rFonts w:eastAsia="Times New Roman" w:cstheme="minorHAnsi"/>
        </w:rPr>
        <w:t xml:space="preserve">Lo studio, </w:t>
      </w:r>
      <w:r>
        <w:t xml:space="preserve">pubblicato sulla prestigiosa rivista scientifica </w:t>
      </w:r>
      <w:r w:rsidRPr="00CD5D3B">
        <w:rPr>
          <w:i/>
          <w:iCs/>
        </w:rPr>
        <w:t>New England Journal of Medicine</w:t>
      </w:r>
      <w:r w:rsidR="00AB758F">
        <w:rPr>
          <w:i/>
          <w:iCs/>
        </w:rPr>
        <w:t>,</w:t>
      </w:r>
      <w:r>
        <w:t xml:space="preserve"> è stato effettuato mettendo a confronto un totale di 6272 casi di pazienti affetti da grave infezione respiratoria determinata dal virus SARS-Cov-2 accertati nel periodo tra il 21 febbraio e l’11 marzo 2020, con 30.759 persone sane (il gruppo di controlli), tutti iscritti nel registro sanitario della Regione Lombardia</w:t>
      </w:r>
      <w:r w:rsidR="004704E0">
        <w:t xml:space="preserve">. </w:t>
      </w:r>
    </w:p>
    <w:p w14:paraId="38555469" w14:textId="052F9129" w:rsidR="00AB758F" w:rsidRPr="005C1C98" w:rsidRDefault="00AB758F" w:rsidP="00AB758F">
      <w:pPr>
        <w:jc w:val="both"/>
        <w:rPr>
          <w:i/>
        </w:rPr>
      </w:pPr>
      <w:r>
        <w:lastRenderedPageBreak/>
        <w:t>“</w:t>
      </w:r>
      <w:r w:rsidR="006C3030" w:rsidRPr="00D43373">
        <w:rPr>
          <w:i/>
        </w:rPr>
        <w:t>La pandemia in corso che ha cos</w:t>
      </w:r>
      <w:r w:rsidR="00D43373">
        <w:rPr>
          <w:i/>
        </w:rPr>
        <w:t>ì</w:t>
      </w:r>
      <w:r w:rsidR="006C3030" w:rsidRPr="00D43373">
        <w:rPr>
          <w:i/>
        </w:rPr>
        <w:t xml:space="preserve"> drammaticamente colpito il nostro Paese e la nostra regione, non solo ha causato in Italia molti contagi e</w:t>
      </w:r>
      <w:r w:rsidR="00B21BEA">
        <w:rPr>
          <w:i/>
        </w:rPr>
        <w:t xml:space="preserve"> </w:t>
      </w:r>
      <w:r w:rsidR="005C1C98">
        <w:rPr>
          <w:i/>
        </w:rPr>
        <w:t>un numero elevato di decessi</w:t>
      </w:r>
      <w:r w:rsidR="006C3030" w:rsidRPr="00D43373">
        <w:rPr>
          <w:i/>
        </w:rPr>
        <w:t xml:space="preserve"> dovuti al virus, ma sicuramente è responsabile di morti associate e di morti indirette, soprattutto in pazienti con patologie frequenti che rendono gli individui fragili e quindi suscettibili a complicazioni</w:t>
      </w:r>
      <w:r w:rsidR="005C1C98">
        <w:rPr>
          <w:i/>
        </w:rPr>
        <w:t>”</w:t>
      </w:r>
      <w:r w:rsidR="005C1C98" w:rsidRPr="005C1C98">
        <w:rPr>
          <w:rFonts w:eastAsia="Times New Roman" w:cstheme="minorHAnsi"/>
        </w:rPr>
        <w:t xml:space="preserve"> </w:t>
      </w:r>
      <w:r w:rsidR="005C1C98">
        <w:rPr>
          <w:rFonts w:eastAsia="Times New Roman" w:cstheme="minorHAnsi"/>
        </w:rPr>
        <w:t xml:space="preserve">– spiega </w:t>
      </w:r>
      <w:r w:rsidR="005C1C98" w:rsidRPr="0056774B">
        <w:rPr>
          <w:b/>
          <w:bCs/>
        </w:rPr>
        <w:t>Giovanni Apolone, Direttore Scientifico dell’Istituto Nazionale dei Tumori di Milano</w:t>
      </w:r>
      <w:r w:rsidR="005C1C98" w:rsidRPr="0056774B">
        <w:rPr>
          <w:i/>
          <w:iCs/>
        </w:rPr>
        <w:t>.</w:t>
      </w:r>
      <w:r w:rsidR="005C1C98">
        <w:rPr>
          <w:i/>
          <w:iCs/>
        </w:rPr>
        <w:t xml:space="preserve"> – “</w:t>
      </w:r>
      <w:r w:rsidR="006C3030" w:rsidRPr="00D43373">
        <w:rPr>
          <w:i/>
        </w:rPr>
        <w:t xml:space="preserve">Fra questi ci sono certamente i pazienti con cancro e </w:t>
      </w:r>
      <w:r w:rsidR="00574251" w:rsidRPr="00D43373">
        <w:rPr>
          <w:i/>
        </w:rPr>
        <w:t xml:space="preserve">quelli </w:t>
      </w:r>
      <w:r w:rsidR="006C3030" w:rsidRPr="00D43373">
        <w:rPr>
          <w:i/>
        </w:rPr>
        <w:t xml:space="preserve">con patologie cardiovascolari che ammontano a molti milioni </w:t>
      </w:r>
      <w:r w:rsidR="00574251" w:rsidRPr="00D43373">
        <w:rPr>
          <w:i/>
        </w:rPr>
        <w:t>in I</w:t>
      </w:r>
      <w:r w:rsidR="006C3030" w:rsidRPr="00D43373">
        <w:rPr>
          <w:i/>
        </w:rPr>
        <w:t xml:space="preserve">talia. Sono quindi in corso </w:t>
      </w:r>
      <w:r w:rsidR="005C1C98">
        <w:rPr>
          <w:i/>
        </w:rPr>
        <w:t>parecchi</w:t>
      </w:r>
      <w:r w:rsidR="006C3030" w:rsidRPr="00D43373">
        <w:rPr>
          <w:i/>
        </w:rPr>
        <w:t xml:space="preserve"> studi per verificare se determinate patologie o determinate terapie aumentano il rischio di contagio e influenzano la prognosi. La possibilità di poter utilizzare i dati provenienti dai flussi e dai data base </w:t>
      </w:r>
      <w:r w:rsidRPr="00D43373">
        <w:rPr>
          <w:rFonts w:eastAsia="Times New Roman" w:cstheme="minorHAnsi"/>
          <w:i/>
          <w:iCs/>
        </w:rPr>
        <w:t xml:space="preserve">della Regione Lombardia e il registro COVID regionale </w:t>
      </w:r>
      <w:r w:rsidR="006C3030" w:rsidRPr="00D43373">
        <w:rPr>
          <w:rFonts w:eastAsia="Times New Roman" w:cstheme="minorHAnsi"/>
          <w:i/>
          <w:iCs/>
        </w:rPr>
        <w:t xml:space="preserve">ci ha permesso di </w:t>
      </w:r>
      <w:r w:rsidRPr="00D43373">
        <w:rPr>
          <w:rFonts w:eastAsia="Times New Roman" w:cstheme="minorHAnsi"/>
          <w:i/>
          <w:iCs/>
        </w:rPr>
        <w:t xml:space="preserve"> risalire alla storia clinica e diagnostico-terapeutica dei pazienti fino a 5 anni precedenti lo studio, inclusi tutti gli episodi di ospedalizzazione per diverse malattie, </w:t>
      </w:r>
      <w:r w:rsidR="005C1C98">
        <w:rPr>
          <w:rFonts w:eastAsia="Times New Roman" w:cstheme="minorHAnsi"/>
          <w:i/>
          <w:iCs/>
        </w:rPr>
        <w:t>comprese</w:t>
      </w:r>
      <w:r w:rsidRPr="00D43373">
        <w:rPr>
          <w:rFonts w:eastAsia="Times New Roman" w:cstheme="minorHAnsi"/>
          <w:i/>
          <w:iCs/>
        </w:rPr>
        <w:t xml:space="preserve"> le patologie tumorali</w:t>
      </w:r>
      <w:r w:rsidR="005C1C98">
        <w:rPr>
          <w:rFonts w:eastAsia="Times New Roman" w:cstheme="minorHAnsi"/>
          <w:i/>
          <w:iCs/>
        </w:rPr>
        <w:t>,</w:t>
      </w:r>
      <w:r w:rsidR="00574251" w:rsidRPr="00D43373">
        <w:rPr>
          <w:rFonts w:eastAsia="Times New Roman" w:cstheme="minorHAnsi"/>
          <w:i/>
          <w:iCs/>
        </w:rPr>
        <w:t xml:space="preserve"> e di poter escludere, con </w:t>
      </w:r>
      <w:r w:rsidR="006C3030" w:rsidRPr="00D43373">
        <w:rPr>
          <w:rFonts w:eastAsia="Times New Roman" w:cstheme="minorHAnsi"/>
          <w:i/>
          <w:iCs/>
        </w:rPr>
        <w:t>una cer</w:t>
      </w:r>
      <w:r w:rsidR="00574251" w:rsidRPr="00D43373">
        <w:rPr>
          <w:rFonts w:eastAsia="Times New Roman" w:cstheme="minorHAnsi"/>
          <w:i/>
          <w:iCs/>
        </w:rPr>
        <w:t>t</w:t>
      </w:r>
      <w:r w:rsidR="006C3030" w:rsidRPr="00D43373">
        <w:rPr>
          <w:rFonts w:eastAsia="Times New Roman" w:cstheme="minorHAnsi"/>
          <w:i/>
          <w:iCs/>
        </w:rPr>
        <w:t>a ragionevolezza nonostante il disegno osservazionale dello studio</w:t>
      </w:r>
      <w:r w:rsidR="005C1C98">
        <w:rPr>
          <w:rFonts w:eastAsia="Times New Roman" w:cstheme="minorHAnsi"/>
          <w:i/>
          <w:iCs/>
        </w:rPr>
        <w:t>,</w:t>
      </w:r>
      <w:r w:rsidR="006C3030" w:rsidRPr="00D43373">
        <w:rPr>
          <w:rFonts w:eastAsia="Times New Roman" w:cstheme="minorHAnsi"/>
          <w:i/>
          <w:iCs/>
        </w:rPr>
        <w:t xml:space="preserve"> che la somministrazione di questi farmaci non aumenta il </w:t>
      </w:r>
      <w:r w:rsidR="00574251" w:rsidRPr="00D43373">
        <w:rPr>
          <w:rFonts w:eastAsia="Times New Roman" w:cstheme="minorHAnsi"/>
          <w:i/>
          <w:iCs/>
        </w:rPr>
        <w:t xml:space="preserve">rischio di incorrere nella infezione e di avere una prognosi sfavorevole. Nello stesso numero del </w:t>
      </w:r>
      <w:r w:rsidR="005C1C98" w:rsidRPr="001C630D">
        <w:rPr>
          <w:i/>
          <w:iCs/>
        </w:rPr>
        <w:t>New England Journal of Medicine</w:t>
      </w:r>
      <w:r w:rsidR="00574251" w:rsidRPr="00D43373">
        <w:rPr>
          <w:rFonts w:eastAsia="Times New Roman" w:cstheme="minorHAnsi"/>
          <w:i/>
          <w:iCs/>
        </w:rPr>
        <w:t xml:space="preserve"> sono infatti stati pubblicati altri 2 articoli sullo stesso tema basati su dati simili provenienti da altri </w:t>
      </w:r>
      <w:r w:rsidR="005C1C98">
        <w:rPr>
          <w:rFonts w:eastAsia="Times New Roman" w:cstheme="minorHAnsi"/>
          <w:i/>
          <w:iCs/>
        </w:rPr>
        <w:t>P</w:t>
      </w:r>
      <w:r w:rsidR="00574251" w:rsidRPr="00D43373">
        <w:rPr>
          <w:rFonts w:eastAsia="Times New Roman" w:cstheme="minorHAnsi"/>
          <w:i/>
          <w:iCs/>
        </w:rPr>
        <w:t>aesi che hanno mostrato gli stessi risultati</w:t>
      </w:r>
      <w:r w:rsidRPr="00D43373">
        <w:rPr>
          <w:rFonts w:eastAsia="Times New Roman" w:cstheme="minorHAnsi"/>
          <w:i/>
        </w:rPr>
        <w:t>”</w:t>
      </w:r>
      <w:r w:rsidR="00DC1388">
        <w:rPr>
          <w:rFonts w:eastAsia="Times New Roman" w:cstheme="minorHAnsi"/>
        </w:rPr>
        <w:t>.</w:t>
      </w:r>
    </w:p>
    <w:p w14:paraId="3C940D2C" w14:textId="11E270DB" w:rsidR="00991C12" w:rsidRDefault="004704E0" w:rsidP="00A9720F">
      <w:pPr>
        <w:jc w:val="both"/>
      </w:pPr>
      <w:r w:rsidRPr="005E4729">
        <w:rPr>
          <w:i/>
          <w:iCs/>
        </w:rPr>
        <w:t>“Ad ogni caso di COVID-19 sono stati appaiati casualmente 5 controlli</w:t>
      </w:r>
      <w:r w:rsidR="00E92EC5" w:rsidRPr="005E4729">
        <w:rPr>
          <w:i/>
          <w:iCs/>
        </w:rPr>
        <w:t xml:space="preserve"> </w:t>
      </w:r>
      <w:r w:rsidRPr="005E4729">
        <w:rPr>
          <w:rFonts w:eastAsia="Times New Roman" w:cstheme="minorHAnsi"/>
          <w:i/>
          <w:iCs/>
        </w:rPr>
        <w:t xml:space="preserve">della stessa età, sesso e comune di residenza. </w:t>
      </w:r>
      <w:r w:rsidR="00991C12" w:rsidRPr="005E4729">
        <w:rPr>
          <w:rFonts w:eastAsia="Times New Roman" w:cstheme="minorHAnsi"/>
          <w:i/>
          <w:iCs/>
        </w:rPr>
        <w:t>Le i</w:t>
      </w:r>
      <w:r w:rsidR="00EE7160" w:rsidRPr="005E4729">
        <w:rPr>
          <w:i/>
          <w:iCs/>
        </w:rPr>
        <w:t>nformazioni sull'uso di farmaci e</w:t>
      </w:r>
      <w:r w:rsidR="00991C12" w:rsidRPr="005E4729">
        <w:rPr>
          <w:i/>
          <w:iCs/>
        </w:rPr>
        <w:t xml:space="preserve"> sui</w:t>
      </w:r>
      <w:r w:rsidR="00EE7160" w:rsidRPr="005E4729">
        <w:rPr>
          <w:i/>
          <w:iCs/>
        </w:rPr>
        <w:t xml:space="preserve"> profili clinici dei pazienti </w:t>
      </w:r>
      <w:r w:rsidR="00991C12" w:rsidRPr="005E4729">
        <w:rPr>
          <w:i/>
          <w:iCs/>
        </w:rPr>
        <w:t>sono stat</w:t>
      </w:r>
      <w:r w:rsidR="00DC1388">
        <w:rPr>
          <w:i/>
          <w:iCs/>
        </w:rPr>
        <w:t>e</w:t>
      </w:r>
      <w:r w:rsidR="00991C12" w:rsidRPr="005E4729">
        <w:rPr>
          <w:i/>
          <w:iCs/>
        </w:rPr>
        <w:t xml:space="preserve"> ottenut</w:t>
      </w:r>
      <w:r w:rsidR="00DC1388">
        <w:rPr>
          <w:i/>
          <w:iCs/>
        </w:rPr>
        <w:t>e</w:t>
      </w:r>
      <w:r w:rsidR="00EE7160" w:rsidRPr="005E4729">
        <w:rPr>
          <w:i/>
          <w:iCs/>
        </w:rPr>
        <w:t xml:space="preserve"> dalla banca dati regionale di assistenza sanitaria</w:t>
      </w:r>
      <w:r w:rsidR="00991C12" w:rsidRPr="005E4729">
        <w:rPr>
          <w:i/>
          <w:iCs/>
        </w:rPr>
        <w:t xml:space="preserve">, mentre </w:t>
      </w:r>
      <w:r w:rsidR="001F630C" w:rsidRPr="005E4729">
        <w:rPr>
          <w:i/>
          <w:iCs/>
        </w:rPr>
        <w:t xml:space="preserve">per tutto il campione è stato utilizzato un indice di prognosi, con uno score da </w:t>
      </w:r>
      <w:r w:rsidR="00991C12" w:rsidRPr="005E4729">
        <w:rPr>
          <w:i/>
          <w:iCs/>
        </w:rPr>
        <w:t>0 a 4</w:t>
      </w:r>
      <w:r w:rsidR="001F630C" w:rsidRPr="005E4729">
        <w:rPr>
          <w:i/>
          <w:iCs/>
        </w:rPr>
        <w:t>, dove il valore più alto indica uno stato clinico peggiore</w:t>
      </w:r>
      <w:r w:rsidR="001F630C">
        <w:t xml:space="preserve">” – spiega </w:t>
      </w:r>
      <w:r w:rsidR="005E4729">
        <w:t xml:space="preserve">il prof. </w:t>
      </w:r>
      <w:r w:rsidR="001F630C" w:rsidRPr="005E4729">
        <w:rPr>
          <w:b/>
          <w:bCs/>
        </w:rPr>
        <w:t>Giovanni Corrao</w:t>
      </w:r>
      <w:r w:rsidR="00991C12">
        <w:t xml:space="preserve"> </w:t>
      </w:r>
      <w:r w:rsidR="005E4729">
        <w:t xml:space="preserve">del </w:t>
      </w:r>
      <w:r w:rsidR="005E4729" w:rsidRPr="005E4729">
        <w:rPr>
          <w:b/>
          <w:bCs/>
        </w:rPr>
        <w:t>Dipartimento di Statistica e Metodi Quantitativi dell'Università di Milano-Bicocca</w:t>
      </w:r>
      <w:r w:rsidR="005E4729">
        <w:t>. “</w:t>
      </w:r>
      <w:r w:rsidR="005E4729" w:rsidRPr="00AB758F">
        <w:rPr>
          <w:i/>
          <w:iCs/>
        </w:rPr>
        <w:t xml:space="preserve">La nostra analisi ha evidenziato che i pazienti </w:t>
      </w:r>
      <w:r w:rsidR="00AD7F81">
        <w:rPr>
          <w:i/>
          <w:iCs/>
        </w:rPr>
        <w:t>contagiati</w:t>
      </w:r>
      <w:r w:rsidR="00AD7F81" w:rsidRPr="00AB758F">
        <w:rPr>
          <w:i/>
          <w:iCs/>
        </w:rPr>
        <w:t xml:space="preserve"> </w:t>
      </w:r>
      <w:r w:rsidR="005E4729" w:rsidRPr="00AB758F">
        <w:rPr>
          <w:i/>
          <w:iCs/>
        </w:rPr>
        <w:t xml:space="preserve">dal virus </w:t>
      </w:r>
      <w:r w:rsidR="00AB758F">
        <w:rPr>
          <w:i/>
          <w:iCs/>
        </w:rPr>
        <w:t>hanno</w:t>
      </w:r>
      <w:r w:rsidR="005E4729" w:rsidRPr="00AB758F">
        <w:rPr>
          <w:i/>
          <w:iCs/>
        </w:rPr>
        <w:t xml:space="preserve"> un punteggio </w:t>
      </w:r>
      <w:r w:rsidR="00AB758F">
        <w:rPr>
          <w:i/>
          <w:iCs/>
        </w:rPr>
        <w:t>più alto</w:t>
      </w:r>
      <w:r w:rsidR="005E4729" w:rsidRPr="00AB758F">
        <w:rPr>
          <w:i/>
          <w:iCs/>
        </w:rPr>
        <w:t xml:space="preserve"> nello score</w:t>
      </w:r>
      <w:r w:rsidR="00AD7F81">
        <w:rPr>
          <w:i/>
          <w:iCs/>
        </w:rPr>
        <w:t xml:space="preserve"> </w:t>
      </w:r>
      <w:r w:rsidR="005E4729" w:rsidRPr="00AB758F">
        <w:rPr>
          <w:i/>
          <w:iCs/>
        </w:rPr>
        <w:t>e</w:t>
      </w:r>
      <w:r w:rsidR="00AD7F81">
        <w:rPr>
          <w:i/>
          <w:iCs/>
        </w:rPr>
        <w:t xml:space="preserve"> </w:t>
      </w:r>
      <w:r w:rsidR="00AD7F81" w:rsidRPr="00AB758F">
        <w:rPr>
          <w:i/>
          <w:iCs/>
        </w:rPr>
        <w:t>fa</w:t>
      </w:r>
      <w:r w:rsidR="00AD7F81">
        <w:rPr>
          <w:i/>
          <w:iCs/>
        </w:rPr>
        <w:t>nno</w:t>
      </w:r>
      <w:r w:rsidR="00AD7F81" w:rsidRPr="00AB758F">
        <w:rPr>
          <w:i/>
          <w:iCs/>
        </w:rPr>
        <w:t xml:space="preserve"> un uso più frequente di farmaci antipertensivi</w:t>
      </w:r>
      <w:r w:rsidR="00AD7F81">
        <w:rPr>
          <w:i/>
          <w:iCs/>
        </w:rPr>
        <w:t>, e sono più affetti da malattie cardiovascolari. Questo suggerisce che le manifestazioni cliniche del contagio si manifestano prevalentemente in individui clinicamente fragili, e tra questi</w:t>
      </w:r>
      <w:r w:rsidR="00392B57">
        <w:rPr>
          <w:i/>
          <w:iCs/>
        </w:rPr>
        <w:t xml:space="preserve">, in </w:t>
      </w:r>
      <w:r w:rsidR="00AD7F81">
        <w:rPr>
          <w:i/>
          <w:iCs/>
        </w:rPr>
        <w:t xml:space="preserve">pazienti affetti da malattie cardiovascolari e metaboliche. Tuttavia, farmaci come ACE-inibitori e sartani </w:t>
      </w:r>
      <w:r w:rsidR="00AD7F81" w:rsidRPr="00AB758F">
        <w:rPr>
          <w:i/>
          <w:iCs/>
        </w:rPr>
        <w:t>non sembra</w:t>
      </w:r>
      <w:r w:rsidR="00AD7F81">
        <w:rPr>
          <w:i/>
          <w:iCs/>
        </w:rPr>
        <w:t>no</w:t>
      </w:r>
      <w:r w:rsidR="00AD7F81" w:rsidRPr="00AB758F">
        <w:rPr>
          <w:i/>
          <w:iCs/>
        </w:rPr>
        <w:t xml:space="preserve"> avere alcun </w:t>
      </w:r>
      <w:r w:rsidR="00AD7F81">
        <w:rPr>
          <w:i/>
          <w:iCs/>
        </w:rPr>
        <w:t>ruolo diretto</w:t>
      </w:r>
      <w:r w:rsidR="00AD7F81" w:rsidRPr="00AB758F">
        <w:rPr>
          <w:i/>
          <w:iCs/>
        </w:rPr>
        <w:t xml:space="preserve"> </w:t>
      </w:r>
      <w:r w:rsidR="00AD7F81">
        <w:rPr>
          <w:i/>
          <w:iCs/>
        </w:rPr>
        <w:t xml:space="preserve">nel favorire </w:t>
      </w:r>
      <w:r w:rsidR="00AD7F81" w:rsidRPr="00AB758F">
        <w:rPr>
          <w:i/>
          <w:iCs/>
        </w:rPr>
        <w:t>un maggior rischio di sviluppo o aggravamento dell’infezione</w:t>
      </w:r>
      <w:r w:rsidR="00AD7F81">
        <w:t>”.</w:t>
      </w:r>
    </w:p>
    <w:p w14:paraId="16CA2056" w14:textId="16B86CEB" w:rsidR="000A4405" w:rsidRDefault="00AB758F" w:rsidP="004704E0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Lo studio ha incluso delle sotto-analisi in modo da prendere in considerazione eventuali differenze per sesso o per età (over60 vs under 60), ma in entrambi casi i </w:t>
      </w:r>
      <w:r w:rsidR="00AD7F81">
        <w:rPr>
          <w:rFonts w:eastAsia="Times New Roman" w:cstheme="minorHAnsi"/>
        </w:rPr>
        <w:t>risultati sono stati confermati</w:t>
      </w:r>
      <w:r>
        <w:rPr>
          <w:rFonts w:eastAsia="Times New Roman" w:cstheme="minorHAnsi"/>
        </w:rPr>
        <w:t>, senza quindi evidenziare differenze significative</w:t>
      </w:r>
      <w:r w:rsidR="000A4405">
        <w:rPr>
          <w:rFonts w:eastAsia="Times New Roman" w:cstheme="minorHAnsi"/>
        </w:rPr>
        <w:t xml:space="preserve"> tra i diversi gruppi</w:t>
      </w:r>
      <w:r>
        <w:rPr>
          <w:rFonts w:eastAsia="Times New Roman" w:cstheme="minorHAnsi"/>
        </w:rPr>
        <w:t xml:space="preserve">. </w:t>
      </w:r>
      <w:r w:rsidR="000A4405">
        <w:rPr>
          <w:rFonts w:eastAsia="Times New Roman" w:cstheme="minorHAnsi"/>
        </w:rPr>
        <w:t xml:space="preserve">Inoltre, è stata indagata anche l’ipotesi che il rischio per i pazienti in terapia con antipertensivi non fosse solo un aumento della probabilità di </w:t>
      </w:r>
      <w:r w:rsidR="00AD7F81">
        <w:rPr>
          <w:rFonts w:eastAsia="Times New Roman" w:cstheme="minorHAnsi"/>
        </w:rPr>
        <w:t>essere contagiati dal</w:t>
      </w:r>
      <w:r w:rsidR="000A4405">
        <w:rPr>
          <w:rFonts w:eastAsia="Times New Roman" w:cstheme="minorHAnsi"/>
        </w:rPr>
        <w:t xml:space="preserve"> virus, ma </w:t>
      </w:r>
      <w:r w:rsidR="00AD7F81">
        <w:rPr>
          <w:rFonts w:eastAsia="Times New Roman" w:cstheme="minorHAnsi"/>
        </w:rPr>
        <w:t xml:space="preserve">di sviluppare la sintomatologia </w:t>
      </w:r>
      <w:r w:rsidR="000A4405">
        <w:rPr>
          <w:rFonts w:eastAsia="Times New Roman" w:cstheme="minorHAnsi"/>
        </w:rPr>
        <w:t xml:space="preserve">in forma più severa </w:t>
      </w:r>
      <w:r w:rsidR="00AD7F81">
        <w:rPr>
          <w:rFonts w:eastAsia="Times New Roman" w:cstheme="minorHAnsi"/>
        </w:rPr>
        <w:t xml:space="preserve">a causa dell’esposizione </w:t>
      </w:r>
      <w:r w:rsidR="000A4405">
        <w:rPr>
          <w:rFonts w:eastAsia="Times New Roman" w:cstheme="minorHAnsi"/>
        </w:rPr>
        <w:t xml:space="preserve">ai bloccanti del sistema renina-angiotensina. L’analisi di oltre 600 casi – comprendenti i pazienti ricoverati in terapia intensiva e i deceduti – ha smentito anche quest’ultima ipotesi. </w:t>
      </w:r>
    </w:p>
    <w:p w14:paraId="6347446E" w14:textId="65E10411" w:rsidR="000F1159" w:rsidRDefault="000A4405" w:rsidP="000A4405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Lo studio rappresenta sicuramente un passo avanti significativo nella conoscenza d</w:t>
      </w:r>
      <w:r w:rsidR="00BB7E73">
        <w:rPr>
          <w:rFonts w:eastAsia="Times New Roman" w:cstheme="minorHAnsi"/>
        </w:rPr>
        <w:t xml:space="preserve">ell’esposizione al rischio di COVID-19 da parte di pazienti in trattamento con antipertensivi, per i quali questi farmaci rappresentano in molti casi delle terapie salvavita da assumere con continuità. </w:t>
      </w:r>
    </w:p>
    <w:p w14:paraId="0465ECD3" w14:textId="7C54F967" w:rsidR="00392B57" w:rsidRDefault="00392B57" w:rsidP="000A4405">
      <w:pPr>
        <w:jc w:val="both"/>
        <w:rPr>
          <w:rFonts w:eastAsia="Times New Roman" w:cstheme="minorHAnsi"/>
        </w:rPr>
      </w:pPr>
    </w:p>
    <w:p w14:paraId="7E86624C" w14:textId="6DEB00F7" w:rsidR="001F3CF1" w:rsidRDefault="001F3CF1" w:rsidP="00045D26">
      <w:pPr>
        <w:spacing w:before="120" w:after="0"/>
        <w:jc w:val="both"/>
        <w:rPr>
          <w:rFonts w:eastAsia="Times New Roman" w:cstheme="minorHAnsi"/>
          <w:b/>
          <w:bCs/>
          <w:sz w:val="20"/>
        </w:rPr>
      </w:pPr>
      <w:r>
        <w:rPr>
          <w:rFonts w:eastAsia="Times New Roman" w:cstheme="minorHAnsi"/>
          <w:b/>
          <w:bCs/>
          <w:sz w:val="20"/>
        </w:rPr>
        <w:t>LA FONDAZIONE IRCCS - ISTITUTO NAZIONALE DEI TUMORI (INT)</w:t>
      </w:r>
    </w:p>
    <w:p w14:paraId="0475F772" w14:textId="3345A143" w:rsidR="001F3CF1" w:rsidRDefault="001F3CF1" w:rsidP="00045D26">
      <w:pPr>
        <w:spacing w:before="120" w:after="0"/>
        <w:jc w:val="both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 xml:space="preserve">La Fondazione IRCCS - Istituto Nazionale dei Tumori (INT) è un istituto pubblico di ricovero e cura a carattere scientifico. Fondato nel 1928, l’INT è primo in Italia tra gli IRCCS oncologici ed è centro di riferimento nazionale e internazionale sia per i tumori più frequenti che per quelli più rari e pediatrici. Con 540 persone dedicate e 27 laboratori, è oggi polo di eccellenza per le attività di ricerca pre-clinica, traslazionale e clinica, di assistenza ed epidemiologica. Definito come «Comprehensive Cancer Center», secondo quanto stabilito dall’Organizzazione degli Istituti del Cancro Europei (OECI), l'INT, con 10 brevetti e ben 5 Registri di Patologia Istituzionali, è affiliato a oltre una decina di organizzazioni internazionali per la ricerca e cura del cancro (OECI, UICC, WIN, EORTC) ed è membro nella rete «Cancer Core Europe» formata dai 7 </w:t>
      </w:r>
      <w:r>
        <w:rPr>
          <w:rFonts w:eastAsia="Times New Roman" w:cstheme="minorHAnsi"/>
          <w:sz w:val="20"/>
        </w:rPr>
        <w:lastRenderedPageBreak/>
        <w:t xml:space="preserve">principali European Cancer Center. Nel portfolio INT 2018: 667 studi clinici, 722 articoli pubblicati su riviste scientifiche internazionali, 179 progetti finanziati da enti pubblici e privati. INT è uno dei Centri di riferimento nel panorama assistenziale lombardo e nazionale: nel 2018 sono stati più di 18.000 i pazienti ricoverati e oltre un milione 238 mila le visite ed esami a livello ambulatoriale eseguite. Oltre all’attività di ricerca e clinica, l’Istituto si occupa di formazione, ospitando 180 specializzandi universitari. </w:t>
      </w:r>
    </w:p>
    <w:p w14:paraId="11486634" w14:textId="77777777" w:rsidR="00392B57" w:rsidRDefault="00392B57" w:rsidP="001F3CF1">
      <w:pPr>
        <w:jc w:val="both"/>
        <w:rPr>
          <w:rFonts w:eastAsia="Times New Roman" w:cstheme="minorHAnsi"/>
          <w:sz w:val="20"/>
        </w:rPr>
      </w:pPr>
    </w:p>
    <w:p w14:paraId="49CECB6B" w14:textId="789ED2F5" w:rsidR="00392B57" w:rsidRPr="00743BA9" w:rsidRDefault="00392B57" w:rsidP="00045D26">
      <w:pPr>
        <w:pStyle w:val="NormaleWeb"/>
        <w:spacing w:before="120" w:beforeAutospacing="0" w:after="0" w:afterAutospacing="0"/>
        <w:jc w:val="both"/>
        <w:rPr>
          <w:rFonts w:asciiTheme="minorHAnsi" w:hAnsiTheme="minorHAnsi" w:cstheme="minorHAnsi"/>
          <w:b/>
          <w:bCs/>
          <w:sz w:val="20"/>
        </w:rPr>
      </w:pPr>
      <w:r w:rsidRPr="00743BA9">
        <w:rPr>
          <w:rFonts w:asciiTheme="minorHAnsi" w:hAnsiTheme="minorHAnsi" w:cstheme="minorHAnsi"/>
          <w:b/>
          <w:bCs/>
          <w:sz w:val="20"/>
        </w:rPr>
        <w:t>L’UNIVERSIT</w:t>
      </w:r>
      <w:r w:rsidR="00DC1388">
        <w:rPr>
          <w:rFonts w:asciiTheme="minorHAnsi" w:hAnsiTheme="minorHAnsi" w:cstheme="minorHAnsi"/>
          <w:b/>
          <w:bCs/>
          <w:sz w:val="20"/>
        </w:rPr>
        <w:t>À</w:t>
      </w:r>
      <w:r w:rsidRPr="00743BA9">
        <w:rPr>
          <w:rFonts w:asciiTheme="minorHAnsi" w:hAnsiTheme="minorHAnsi" w:cstheme="minorHAnsi"/>
          <w:b/>
          <w:bCs/>
          <w:sz w:val="20"/>
        </w:rPr>
        <w:t xml:space="preserve"> DI MILANO-BICOCCA</w:t>
      </w:r>
    </w:p>
    <w:p w14:paraId="2F5FAD84" w14:textId="0E7F6EEA" w:rsidR="005A4430" w:rsidRPr="005A4430" w:rsidRDefault="005A4430" w:rsidP="00045D26">
      <w:pPr>
        <w:pStyle w:val="NormaleWeb"/>
        <w:spacing w:before="120" w:beforeAutospacing="0" w:after="0" w:afterAutospacing="0"/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5A4430">
        <w:rPr>
          <w:rFonts w:asciiTheme="minorHAnsi" w:hAnsiTheme="minorHAnsi" w:cstheme="minorHAnsi"/>
          <w:sz w:val="20"/>
          <w:szCs w:val="22"/>
          <w:lang w:eastAsia="en-US"/>
        </w:rPr>
        <w:t>L’Università di Milano-</w:t>
      </w:r>
      <w:r w:rsidRPr="005A4430">
        <w:rPr>
          <w:rFonts w:asciiTheme="minorHAnsi" w:hAnsiTheme="minorHAnsi" w:cstheme="minorHAnsi"/>
          <w:sz w:val="20"/>
          <w:szCs w:val="22"/>
          <w:lang w:eastAsia="en-US"/>
        </w:rPr>
        <w:softHyphen/>
        <w:t>Bicocca è attiva dal 1998. Attualmente ha 33.455 studenti iscritti ai corsi di laurea, laurea magistrale e laurea magistrale a ciclo unico. L’offerta didattica è articolata in 71 corsi di studio in sette diverse aree disciplinari: economico-</w:t>
      </w:r>
      <w:r w:rsidRPr="005A4430">
        <w:rPr>
          <w:rFonts w:asciiTheme="minorHAnsi" w:hAnsiTheme="minorHAnsi" w:cstheme="minorHAnsi"/>
          <w:sz w:val="20"/>
          <w:szCs w:val="22"/>
          <w:lang w:eastAsia="en-US"/>
        </w:rPr>
        <w:softHyphen/>
        <w:t>statistica, giuridica, medica, psicologica, sociologica, scientifica e della formazione. Ci sono poi 19 corsi di dottorato di ricerca coordinati da un’unica scuola e 28 scuole di specializzazione. La ricerca si svolge in 14 dipartimenti e 47 centri di ricerca universitari e interuniversitari. Il campus si estende su una superficie di oltre 290mila metri quadrati, distribuiti tra il polo milanese nel quartiere Bicocca e il polo biomedico di Monza, a pochi chilometri da Milano.</w:t>
      </w:r>
      <w:r w:rsidRPr="005A4430">
        <w:rPr>
          <w:rFonts w:asciiTheme="minorHAnsi" w:hAnsiTheme="minorHAnsi" w:cstheme="minorHAnsi"/>
          <w:sz w:val="20"/>
          <w:szCs w:val="22"/>
          <w:lang w:eastAsia="en-US"/>
        </w:rPr>
        <w:br/>
        <w:t xml:space="preserve">Nel 2011 è stato inaugurato sull’isola di </w:t>
      </w:r>
      <w:proofErr w:type="spellStart"/>
      <w:r w:rsidRPr="005A4430">
        <w:rPr>
          <w:rFonts w:asciiTheme="minorHAnsi" w:hAnsiTheme="minorHAnsi" w:cstheme="minorHAnsi"/>
          <w:sz w:val="20"/>
          <w:szCs w:val="22"/>
          <w:lang w:eastAsia="en-US"/>
        </w:rPr>
        <w:t>Magoodhoo</w:t>
      </w:r>
      <w:proofErr w:type="spellEnd"/>
      <w:r w:rsidRPr="005A4430">
        <w:rPr>
          <w:rFonts w:asciiTheme="minorHAnsi" w:hAnsiTheme="minorHAnsi" w:cstheme="minorHAnsi"/>
          <w:sz w:val="20"/>
          <w:szCs w:val="22"/>
          <w:lang w:eastAsia="en-US"/>
        </w:rPr>
        <w:t xml:space="preserve">, nell’atollo di </w:t>
      </w:r>
      <w:proofErr w:type="spellStart"/>
      <w:r w:rsidRPr="005A4430">
        <w:rPr>
          <w:rFonts w:asciiTheme="minorHAnsi" w:hAnsiTheme="minorHAnsi" w:cstheme="minorHAnsi"/>
          <w:sz w:val="20"/>
          <w:szCs w:val="22"/>
          <w:lang w:eastAsia="en-US"/>
        </w:rPr>
        <w:t>Faafu</w:t>
      </w:r>
      <w:proofErr w:type="spellEnd"/>
      <w:r w:rsidRPr="005A4430">
        <w:rPr>
          <w:rFonts w:asciiTheme="minorHAnsi" w:hAnsiTheme="minorHAnsi" w:cstheme="minorHAnsi"/>
          <w:sz w:val="20"/>
          <w:szCs w:val="22"/>
          <w:lang w:eastAsia="en-US"/>
        </w:rPr>
        <w:t xml:space="preserve">, alle Maldive, il </w:t>
      </w:r>
      <w:proofErr w:type="spellStart"/>
      <w:r w:rsidRPr="005A4430">
        <w:rPr>
          <w:rFonts w:asciiTheme="minorHAnsi" w:hAnsiTheme="minorHAnsi" w:cstheme="minorHAnsi"/>
          <w:sz w:val="20"/>
          <w:szCs w:val="22"/>
          <w:lang w:eastAsia="en-US"/>
        </w:rPr>
        <w:t>MaHRE</w:t>
      </w:r>
      <w:proofErr w:type="spellEnd"/>
      <w:r w:rsidRPr="005A4430">
        <w:rPr>
          <w:rFonts w:asciiTheme="minorHAnsi" w:hAnsiTheme="minorHAnsi" w:cstheme="minorHAnsi"/>
          <w:sz w:val="20"/>
          <w:szCs w:val="22"/>
          <w:lang w:eastAsia="en-US"/>
        </w:rPr>
        <w:t xml:space="preserve"> center, centro di ricerca e formazione nei campi delle scienze ambientali e dell’ecologia marina.</w:t>
      </w:r>
    </w:p>
    <w:p w14:paraId="30BA8298" w14:textId="77777777" w:rsidR="005A4430" w:rsidRDefault="005A4430" w:rsidP="001F3CF1">
      <w:pPr>
        <w:jc w:val="both"/>
        <w:rPr>
          <w:rFonts w:eastAsia="Times New Roman" w:cstheme="minorHAnsi"/>
          <w:sz w:val="20"/>
        </w:rPr>
      </w:pPr>
    </w:p>
    <w:p w14:paraId="3CA29161" w14:textId="77777777" w:rsidR="0032597F" w:rsidRPr="0032597F" w:rsidRDefault="0032597F" w:rsidP="001F3CF1">
      <w:pPr>
        <w:jc w:val="both"/>
        <w:rPr>
          <w:rFonts w:eastAsia="Times New Roman" w:cstheme="minorHAnsi"/>
          <w:b/>
          <w:bCs/>
          <w:sz w:val="2"/>
          <w:szCs w:val="4"/>
        </w:rPr>
      </w:pPr>
    </w:p>
    <w:p w14:paraId="43AFFC39" w14:textId="77777777" w:rsidR="001F3CF1" w:rsidRDefault="001F3CF1" w:rsidP="001F3CF1">
      <w:pPr>
        <w:rPr>
          <w:rFonts w:eastAsia="Calibri"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PER INFORMAZIONI ALLA STAMPA</w:t>
      </w:r>
    </w:p>
    <w:p w14:paraId="516BE335" w14:textId="77777777" w:rsidR="001F3CF1" w:rsidRPr="00F16E10" w:rsidRDefault="001F3CF1" w:rsidP="001F3CF1">
      <w:pPr>
        <w:spacing w:after="0"/>
        <w:rPr>
          <w:rFonts w:eastAsia="Calibri"/>
          <w:sz w:val="20"/>
          <w:szCs w:val="20"/>
        </w:rPr>
      </w:pPr>
      <w:r w:rsidRPr="00F16E10">
        <w:rPr>
          <w:rFonts w:eastAsia="Calibri" w:cs="Calibri"/>
          <w:b/>
          <w:sz w:val="20"/>
          <w:szCs w:val="20"/>
        </w:rPr>
        <w:t>Noesis s.r.l.</w:t>
      </w:r>
      <w:r w:rsidRPr="00F16E10">
        <w:rPr>
          <w:rFonts w:eastAsia="Calibri" w:cs="Calibri"/>
          <w:sz w:val="20"/>
          <w:szCs w:val="20"/>
        </w:rPr>
        <w:t xml:space="preserve"> Tel.  02 8310511 - Cell. 348 1511488 - Mail: </w:t>
      </w:r>
      <w:hyperlink r:id="rId8" w:history="1">
        <w:r w:rsidRPr="00F16E10">
          <w:rPr>
            <w:rStyle w:val="Collegamentoipertestuale"/>
            <w:rFonts w:eastAsia="Calibri"/>
            <w:color w:val="000080"/>
            <w:sz w:val="20"/>
            <w:szCs w:val="20"/>
          </w:rPr>
          <w:t>int@noesis.net</w:t>
        </w:r>
      </w:hyperlink>
    </w:p>
    <w:p w14:paraId="32F8538D" w14:textId="77777777" w:rsidR="001F3CF1" w:rsidRPr="00F16E10" w:rsidRDefault="001F3CF1" w:rsidP="001F3CF1">
      <w:pPr>
        <w:spacing w:after="0"/>
        <w:rPr>
          <w:rStyle w:val="Collegamentoipertestuale"/>
          <w:color w:val="000080"/>
          <w:sz w:val="20"/>
          <w:szCs w:val="20"/>
        </w:rPr>
      </w:pPr>
      <w:r w:rsidRPr="00F16E10">
        <w:rPr>
          <w:rFonts w:eastAsia="Calibri"/>
          <w:b/>
          <w:sz w:val="20"/>
          <w:szCs w:val="20"/>
        </w:rPr>
        <w:t>Samanta Iannoni</w:t>
      </w:r>
      <w:r w:rsidRPr="00F16E10">
        <w:rPr>
          <w:rFonts w:eastAsia="Calibri"/>
          <w:sz w:val="20"/>
          <w:szCs w:val="20"/>
        </w:rPr>
        <w:t xml:space="preserve">, </w:t>
      </w:r>
      <w:hyperlink r:id="rId9" w:history="1">
        <w:r w:rsidRPr="00F16E10">
          <w:rPr>
            <w:rStyle w:val="Collegamentoipertestuale"/>
            <w:rFonts w:eastAsia="Calibri"/>
            <w:color w:val="000080"/>
            <w:sz w:val="20"/>
            <w:szCs w:val="20"/>
          </w:rPr>
          <w:t>samanta.iannoni@noesis.net</w:t>
        </w:r>
      </w:hyperlink>
    </w:p>
    <w:p w14:paraId="7BAA2641" w14:textId="5227ABD6" w:rsidR="001F3CF1" w:rsidRDefault="001F3CF1" w:rsidP="001F3CF1">
      <w:pPr>
        <w:spacing w:after="0"/>
        <w:rPr>
          <w:rStyle w:val="Collegamentoipertestuale"/>
          <w:bCs/>
          <w:sz w:val="20"/>
          <w:szCs w:val="20"/>
        </w:rPr>
      </w:pPr>
      <w:r w:rsidRPr="00F16E10">
        <w:rPr>
          <w:b/>
          <w:sz w:val="20"/>
          <w:szCs w:val="20"/>
        </w:rPr>
        <w:t>Valeria Riccobono</w:t>
      </w:r>
      <w:r>
        <w:rPr>
          <w:b/>
          <w:sz w:val="20"/>
          <w:szCs w:val="20"/>
        </w:rPr>
        <w:t xml:space="preserve">, </w:t>
      </w:r>
      <w:hyperlink r:id="rId10" w:history="1">
        <w:r w:rsidRPr="00FC5FB9">
          <w:rPr>
            <w:rStyle w:val="Collegamentoipertestuale"/>
            <w:bCs/>
            <w:sz w:val="20"/>
            <w:szCs w:val="20"/>
          </w:rPr>
          <w:t>valeria.riccobono@noesis.net</w:t>
        </w:r>
      </w:hyperlink>
    </w:p>
    <w:p w14:paraId="56F8172B" w14:textId="069DB214" w:rsidR="00011BC7" w:rsidRDefault="00011BC7" w:rsidP="001F3CF1">
      <w:pPr>
        <w:spacing w:after="0"/>
        <w:rPr>
          <w:rStyle w:val="Collegamentoipertestuale"/>
          <w:bCs/>
          <w:sz w:val="20"/>
          <w:szCs w:val="20"/>
        </w:rPr>
      </w:pPr>
    </w:p>
    <w:p w14:paraId="6AC55A7E" w14:textId="07016561" w:rsidR="00011BC7" w:rsidRPr="00011BC7" w:rsidRDefault="00011BC7" w:rsidP="001F3CF1">
      <w:pPr>
        <w:spacing w:after="0"/>
        <w:rPr>
          <w:rFonts w:eastAsia="Calibri" w:cs="Calibri"/>
        </w:rPr>
      </w:pPr>
      <w:r w:rsidRPr="00011BC7">
        <w:rPr>
          <w:rFonts w:eastAsia="Calibri" w:cs="Calibri"/>
          <w:b/>
          <w:sz w:val="20"/>
          <w:szCs w:val="20"/>
        </w:rPr>
        <w:t xml:space="preserve">Ufficio stampa Università di Milano-Bicocca </w:t>
      </w:r>
      <w:r w:rsidRPr="00011BC7">
        <w:rPr>
          <w:rFonts w:eastAsia="Calibri" w:cs="Calibri"/>
          <w:b/>
          <w:sz w:val="20"/>
          <w:szCs w:val="20"/>
        </w:rPr>
        <w:br/>
      </w:r>
      <w:r w:rsidRPr="00820FAC">
        <w:rPr>
          <w:rFonts w:eastAsia="Calibri" w:cs="Calibri"/>
          <w:b/>
          <w:bCs/>
          <w:sz w:val="20"/>
          <w:szCs w:val="20"/>
        </w:rPr>
        <w:t xml:space="preserve">Maria Antonietta </w:t>
      </w:r>
      <w:proofErr w:type="spellStart"/>
      <w:r w:rsidRPr="00820FAC">
        <w:rPr>
          <w:rFonts w:eastAsia="Calibri" w:cs="Calibri"/>
          <w:b/>
          <w:bCs/>
          <w:sz w:val="20"/>
          <w:szCs w:val="20"/>
        </w:rPr>
        <w:t>Izzinosa</w:t>
      </w:r>
      <w:proofErr w:type="spellEnd"/>
      <w:r w:rsidRPr="00011BC7">
        <w:rPr>
          <w:rFonts w:eastAsia="Calibri" w:cs="Calibri"/>
          <w:sz w:val="20"/>
          <w:szCs w:val="20"/>
        </w:rPr>
        <w:t xml:space="preserve"> </w:t>
      </w:r>
      <w:r w:rsidR="008867F9">
        <w:rPr>
          <w:rFonts w:eastAsia="Calibri" w:cs="Calibri"/>
          <w:sz w:val="20"/>
          <w:szCs w:val="20"/>
        </w:rPr>
        <w:t>–</w:t>
      </w:r>
      <w:r w:rsidR="00820FAC">
        <w:rPr>
          <w:rFonts w:eastAsia="Calibri" w:cs="Calibri"/>
          <w:sz w:val="20"/>
          <w:szCs w:val="20"/>
        </w:rPr>
        <w:t xml:space="preserve"> Cell</w:t>
      </w:r>
      <w:r w:rsidR="008867F9">
        <w:rPr>
          <w:rFonts w:eastAsia="Calibri" w:cs="Calibri"/>
          <w:sz w:val="20"/>
          <w:szCs w:val="20"/>
        </w:rPr>
        <w:t xml:space="preserve">. </w:t>
      </w:r>
      <w:r w:rsidRPr="00011BC7">
        <w:rPr>
          <w:rFonts w:eastAsia="Calibri" w:cs="Calibri"/>
          <w:sz w:val="20"/>
          <w:szCs w:val="20"/>
        </w:rPr>
        <w:t>338</w:t>
      </w:r>
      <w:r w:rsidR="008867F9">
        <w:rPr>
          <w:rFonts w:eastAsia="Calibri" w:cs="Calibri"/>
          <w:sz w:val="20"/>
          <w:szCs w:val="20"/>
        </w:rPr>
        <w:t xml:space="preserve"> </w:t>
      </w:r>
      <w:r w:rsidRPr="00011BC7">
        <w:rPr>
          <w:rFonts w:eastAsia="Calibri" w:cs="Calibri"/>
          <w:sz w:val="20"/>
          <w:szCs w:val="20"/>
        </w:rPr>
        <w:t>6940206</w:t>
      </w:r>
      <w:r w:rsidRPr="00011BC7">
        <w:rPr>
          <w:rFonts w:eastAsia="Calibri" w:cs="Calibri"/>
          <w:sz w:val="20"/>
          <w:szCs w:val="20"/>
        </w:rPr>
        <w:br/>
      </w:r>
      <w:r w:rsidRPr="00820FAC">
        <w:rPr>
          <w:rFonts w:eastAsia="Calibri" w:cs="Calibri"/>
          <w:b/>
          <w:bCs/>
          <w:sz w:val="20"/>
          <w:szCs w:val="20"/>
        </w:rPr>
        <w:t>Veronica D’Uva</w:t>
      </w:r>
      <w:r w:rsidRPr="00011BC7">
        <w:rPr>
          <w:rFonts w:eastAsia="Calibri" w:cs="Calibri"/>
          <w:sz w:val="20"/>
          <w:szCs w:val="20"/>
        </w:rPr>
        <w:t xml:space="preserve"> </w:t>
      </w:r>
      <w:r w:rsidR="008867F9">
        <w:rPr>
          <w:rFonts w:eastAsia="Calibri" w:cs="Calibri"/>
          <w:sz w:val="20"/>
          <w:szCs w:val="20"/>
        </w:rPr>
        <w:t>–</w:t>
      </w:r>
      <w:r w:rsidR="00820FAC">
        <w:rPr>
          <w:rFonts w:eastAsia="Calibri" w:cs="Calibri"/>
          <w:sz w:val="20"/>
          <w:szCs w:val="20"/>
        </w:rPr>
        <w:t xml:space="preserve"> </w:t>
      </w:r>
      <w:r w:rsidR="008867F9">
        <w:rPr>
          <w:rFonts w:eastAsia="Calibri" w:cs="Calibri"/>
          <w:sz w:val="20"/>
          <w:szCs w:val="20"/>
        </w:rPr>
        <w:t xml:space="preserve">Cell. </w:t>
      </w:r>
      <w:r w:rsidRPr="00011BC7">
        <w:rPr>
          <w:rFonts w:eastAsia="Calibri" w:cs="Calibri"/>
          <w:sz w:val="20"/>
          <w:szCs w:val="20"/>
        </w:rPr>
        <w:t>335</w:t>
      </w:r>
      <w:r w:rsidR="008867F9">
        <w:rPr>
          <w:rFonts w:eastAsia="Calibri" w:cs="Calibri"/>
          <w:sz w:val="20"/>
          <w:szCs w:val="20"/>
        </w:rPr>
        <w:t xml:space="preserve"> </w:t>
      </w:r>
      <w:r w:rsidRPr="00011BC7">
        <w:rPr>
          <w:rFonts w:eastAsia="Calibri" w:cs="Calibri"/>
          <w:sz w:val="20"/>
          <w:szCs w:val="20"/>
        </w:rPr>
        <w:t>1685364</w:t>
      </w:r>
      <w:r w:rsidRPr="00011BC7">
        <w:rPr>
          <w:rFonts w:eastAsia="Calibri" w:cs="Calibri"/>
          <w:sz w:val="20"/>
          <w:szCs w:val="20"/>
        </w:rPr>
        <w:br/>
      </w:r>
      <w:hyperlink r:id="rId11" w:history="1">
        <w:r w:rsidR="008867F9" w:rsidRPr="0013420D">
          <w:rPr>
            <w:rStyle w:val="Collegamentoipertestuale"/>
            <w:rFonts w:eastAsia="Calibri" w:cs="Calibri"/>
            <w:sz w:val="20"/>
            <w:szCs w:val="20"/>
          </w:rPr>
          <w:t>ufficio.stampa@unimib.it</w:t>
        </w:r>
      </w:hyperlink>
      <w:r w:rsidR="008867F9">
        <w:rPr>
          <w:rFonts w:eastAsia="Calibri" w:cs="Calibri"/>
          <w:sz w:val="20"/>
          <w:szCs w:val="20"/>
        </w:rPr>
        <w:t xml:space="preserve"> </w:t>
      </w:r>
    </w:p>
    <w:p w14:paraId="498A8A3E" w14:textId="77777777" w:rsidR="009B3E1E" w:rsidRDefault="009B3E1E" w:rsidP="001F3CF1">
      <w:pPr>
        <w:spacing w:after="0"/>
        <w:rPr>
          <w:rStyle w:val="Collegamentoipertestuale"/>
          <w:bCs/>
          <w:sz w:val="20"/>
          <w:szCs w:val="20"/>
        </w:rPr>
      </w:pPr>
    </w:p>
    <w:p w14:paraId="62E64576" w14:textId="77777777" w:rsidR="009B3E1E" w:rsidRDefault="009B3E1E" w:rsidP="001F3CF1">
      <w:pPr>
        <w:spacing w:after="0"/>
        <w:rPr>
          <w:rStyle w:val="Collegamentoipertestuale"/>
          <w:bCs/>
          <w:sz w:val="20"/>
          <w:szCs w:val="20"/>
        </w:rPr>
      </w:pPr>
    </w:p>
    <w:sectPr w:rsidR="009B3E1E" w:rsidSect="00045D26">
      <w:headerReference w:type="default" r:id="rId12"/>
      <w:endnotePr>
        <w:numFmt w:val="decimal"/>
      </w:endnotePr>
      <w:type w:val="continuous"/>
      <w:pgSz w:w="11906" w:h="16838"/>
      <w:pgMar w:top="2127" w:right="991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CA671" w14:textId="77777777" w:rsidR="00101AF2" w:rsidRDefault="00101AF2" w:rsidP="001F3CF1">
      <w:pPr>
        <w:spacing w:after="0" w:line="240" w:lineRule="auto"/>
      </w:pPr>
      <w:r>
        <w:separator/>
      </w:r>
    </w:p>
  </w:endnote>
  <w:endnote w:type="continuationSeparator" w:id="0">
    <w:p w14:paraId="21BE8472" w14:textId="77777777" w:rsidR="00101AF2" w:rsidRDefault="00101AF2" w:rsidP="001F3CF1">
      <w:pPr>
        <w:spacing w:after="0" w:line="240" w:lineRule="auto"/>
      </w:pPr>
      <w:r>
        <w:continuationSeparator/>
      </w:r>
    </w:p>
  </w:endnote>
  <w:endnote w:id="1">
    <w:p w14:paraId="42F95BCF" w14:textId="77777777" w:rsidR="00AB758F" w:rsidRPr="006C3030" w:rsidRDefault="00AB758F">
      <w:pPr>
        <w:pStyle w:val="Testonotadichiusura"/>
        <w:rPr>
          <w:lang w:val="en-US"/>
        </w:rPr>
      </w:pPr>
      <w:r w:rsidRPr="00943792">
        <w:rPr>
          <w:rStyle w:val="Rimandonotadichiusura"/>
          <w:sz w:val="18"/>
          <w:szCs w:val="18"/>
        </w:rPr>
        <w:endnoteRef/>
      </w:r>
      <w:r w:rsidRPr="006C3030">
        <w:rPr>
          <w:sz w:val="18"/>
          <w:szCs w:val="18"/>
          <w:lang w:val="en-US"/>
        </w:rPr>
        <w:t xml:space="preserve"> </w:t>
      </w:r>
      <w:r w:rsidRPr="00943792">
        <w:rPr>
          <w:i/>
          <w:iCs/>
          <w:sz w:val="18"/>
          <w:szCs w:val="18"/>
          <w:lang w:val="en-GB"/>
        </w:rPr>
        <w:t>Renin–Angiotensin–Aldosterone System Blockers and the Risk of Covid-19</w:t>
      </w:r>
      <w:r w:rsidRPr="00943792">
        <w:rPr>
          <w:sz w:val="18"/>
          <w:szCs w:val="18"/>
          <w:lang w:val="en-GB"/>
        </w:rPr>
        <w:t>, Giuseppe Mancia, M.D., Federico Rea, Ph.D., Monica Ludergnani, M.Sc., Giovanni Apolone, M.D., Giovanni Corrao, Ph.D.</w:t>
      </w:r>
      <w:r w:rsidRPr="00943792">
        <w:rPr>
          <w:i/>
          <w:sz w:val="18"/>
          <w:szCs w:val="18"/>
          <w:lang w:val="en-GB"/>
        </w:rPr>
        <w:t xml:space="preserve">, New England Journal of Medicine, 1 May 2020, </w:t>
      </w:r>
      <w:r w:rsidRPr="00943792">
        <w:rPr>
          <w:iCs/>
          <w:sz w:val="18"/>
          <w:szCs w:val="18"/>
          <w:lang w:val="en-GB"/>
        </w:rPr>
        <w:t>DOI: 10.1056/NEJMoa2006923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6CFD4" w14:textId="77777777" w:rsidR="00101AF2" w:rsidRDefault="00101AF2" w:rsidP="001F3CF1">
      <w:pPr>
        <w:spacing w:after="0" w:line="240" w:lineRule="auto"/>
      </w:pPr>
      <w:r>
        <w:separator/>
      </w:r>
    </w:p>
  </w:footnote>
  <w:footnote w:type="continuationSeparator" w:id="0">
    <w:p w14:paraId="361FD5B8" w14:textId="77777777" w:rsidR="00101AF2" w:rsidRDefault="00101AF2" w:rsidP="001F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5263" w14:textId="07A249B2" w:rsidR="001F3CF1" w:rsidRDefault="00FA029A" w:rsidP="00FA029A">
    <w:pPr>
      <w:pStyle w:val="Intestazione"/>
      <w:jc w:val="both"/>
    </w:pPr>
    <w:r>
      <w:rPr>
        <w:noProof/>
        <w:lang w:eastAsia="it-IT"/>
      </w:rPr>
      <w:t xml:space="preserve"> </w:t>
    </w:r>
    <w:r w:rsidR="001F3CF1">
      <w:rPr>
        <w:noProof/>
        <w:lang w:eastAsia="it-IT"/>
      </w:rPr>
      <w:drawing>
        <wp:inline distT="0" distB="0" distL="0" distR="0" wp14:anchorId="4E8BC15C" wp14:editId="6285D2EB">
          <wp:extent cx="2627630" cy="567055"/>
          <wp:effectExtent l="0" t="0" r="1270" b="444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3AECD801" wp14:editId="0486288F">
          <wp:extent cx="759946" cy="828000"/>
          <wp:effectExtent l="0" t="0" r="2540" b="0"/>
          <wp:docPr id="13" name="Immagine 13" descr="C:\Users\veronica.duva\Desktop\In lavorazione\LogoIst_legg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onica.duva\Desktop\In lavorazione\LogoIst_legge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46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C90"/>
    <w:multiLevelType w:val="hybridMultilevel"/>
    <w:tmpl w:val="976EF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0C51F8"/>
    <w:multiLevelType w:val="hybridMultilevel"/>
    <w:tmpl w:val="D0EA1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310C9"/>
    <w:multiLevelType w:val="hybridMultilevel"/>
    <w:tmpl w:val="110C3DA4"/>
    <w:lvl w:ilvl="0" w:tplc="B184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4E745C"/>
    <w:multiLevelType w:val="hybridMultilevel"/>
    <w:tmpl w:val="70F83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C47086"/>
    <w:multiLevelType w:val="hybridMultilevel"/>
    <w:tmpl w:val="41F238C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2A149C"/>
    <w:multiLevelType w:val="hybridMultilevel"/>
    <w:tmpl w:val="A5DEE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C679C9"/>
    <w:multiLevelType w:val="hybridMultilevel"/>
    <w:tmpl w:val="C8EC8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2A4C7E"/>
    <w:multiLevelType w:val="hybridMultilevel"/>
    <w:tmpl w:val="8040B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574D49"/>
    <w:multiLevelType w:val="hybridMultilevel"/>
    <w:tmpl w:val="609CD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9E1F02"/>
    <w:multiLevelType w:val="hybridMultilevel"/>
    <w:tmpl w:val="8D9C2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52"/>
    <w:rsid w:val="00011BC7"/>
    <w:rsid w:val="000237F2"/>
    <w:rsid w:val="00045BF7"/>
    <w:rsid w:val="00045D26"/>
    <w:rsid w:val="00057F65"/>
    <w:rsid w:val="00087163"/>
    <w:rsid w:val="000A4405"/>
    <w:rsid w:val="000B7F65"/>
    <w:rsid w:val="000C22F5"/>
    <w:rsid w:val="000E3835"/>
    <w:rsid w:val="000F1159"/>
    <w:rsid w:val="000F5E18"/>
    <w:rsid w:val="00101AF2"/>
    <w:rsid w:val="00147674"/>
    <w:rsid w:val="00177962"/>
    <w:rsid w:val="00184E4F"/>
    <w:rsid w:val="001A4A67"/>
    <w:rsid w:val="001C630D"/>
    <w:rsid w:val="001E19D3"/>
    <w:rsid w:val="001F3CF1"/>
    <w:rsid w:val="001F630C"/>
    <w:rsid w:val="0025501D"/>
    <w:rsid w:val="00265EF6"/>
    <w:rsid w:val="00291C6F"/>
    <w:rsid w:val="002B5BE8"/>
    <w:rsid w:val="002C731F"/>
    <w:rsid w:val="002E6F72"/>
    <w:rsid w:val="002F30A2"/>
    <w:rsid w:val="0032597F"/>
    <w:rsid w:val="00352EFE"/>
    <w:rsid w:val="0038009C"/>
    <w:rsid w:val="00382ECE"/>
    <w:rsid w:val="00392B57"/>
    <w:rsid w:val="003B1EFC"/>
    <w:rsid w:val="003E41F8"/>
    <w:rsid w:val="003E63E0"/>
    <w:rsid w:val="0045433A"/>
    <w:rsid w:val="004704E0"/>
    <w:rsid w:val="004D0175"/>
    <w:rsid w:val="004F1E61"/>
    <w:rsid w:val="00551D00"/>
    <w:rsid w:val="00556BE4"/>
    <w:rsid w:val="0056774B"/>
    <w:rsid w:val="0057064C"/>
    <w:rsid w:val="00574251"/>
    <w:rsid w:val="005A4430"/>
    <w:rsid w:val="005C1C98"/>
    <w:rsid w:val="005E4729"/>
    <w:rsid w:val="006513C4"/>
    <w:rsid w:val="006631D5"/>
    <w:rsid w:val="0069123B"/>
    <w:rsid w:val="00695AC1"/>
    <w:rsid w:val="006C0DE4"/>
    <w:rsid w:val="006C3030"/>
    <w:rsid w:val="006E64DC"/>
    <w:rsid w:val="006E7137"/>
    <w:rsid w:val="007376C1"/>
    <w:rsid w:val="00743BA9"/>
    <w:rsid w:val="00771B21"/>
    <w:rsid w:val="00774DDE"/>
    <w:rsid w:val="00791922"/>
    <w:rsid w:val="007A0461"/>
    <w:rsid w:val="00801AF9"/>
    <w:rsid w:val="00820FAC"/>
    <w:rsid w:val="00853E11"/>
    <w:rsid w:val="008867F9"/>
    <w:rsid w:val="008B2AD5"/>
    <w:rsid w:val="008F633F"/>
    <w:rsid w:val="00906CDE"/>
    <w:rsid w:val="00913565"/>
    <w:rsid w:val="00927918"/>
    <w:rsid w:val="00943792"/>
    <w:rsid w:val="00944FFE"/>
    <w:rsid w:val="009573FD"/>
    <w:rsid w:val="00963AE8"/>
    <w:rsid w:val="00967791"/>
    <w:rsid w:val="00991C12"/>
    <w:rsid w:val="009A5552"/>
    <w:rsid w:val="009B3E1E"/>
    <w:rsid w:val="009D5DF1"/>
    <w:rsid w:val="009E0B4A"/>
    <w:rsid w:val="009F1B43"/>
    <w:rsid w:val="00A02179"/>
    <w:rsid w:val="00A7545B"/>
    <w:rsid w:val="00A85BC4"/>
    <w:rsid w:val="00A9720F"/>
    <w:rsid w:val="00AB758F"/>
    <w:rsid w:val="00AD2F4F"/>
    <w:rsid w:val="00AD7F81"/>
    <w:rsid w:val="00AE1B69"/>
    <w:rsid w:val="00B03B51"/>
    <w:rsid w:val="00B21BEA"/>
    <w:rsid w:val="00B302A2"/>
    <w:rsid w:val="00B41A07"/>
    <w:rsid w:val="00BB46EF"/>
    <w:rsid w:val="00BB7E73"/>
    <w:rsid w:val="00C40C15"/>
    <w:rsid w:val="00C522AD"/>
    <w:rsid w:val="00C63C74"/>
    <w:rsid w:val="00C713AE"/>
    <w:rsid w:val="00C959C2"/>
    <w:rsid w:val="00CA685C"/>
    <w:rsid w:val="00CD5D3B"/>
    <w:rsid w:val="00CF2382"/>
    <w:rsid w:val="00CF735C"/>
    <w:rsid w:val="00D30921"/>
    <w:rsid w:val="00D43373"/>
    <w:rsid w:val="00D97805"/>
    <w:rsid w:val="00DB4B34"/>
    <w:rsid w:val="00DC1388"/>
    <w:rsid w:val="00DD14A2"/>
    <w:rsid w:val="00E30E7A"/>
    <w:rsid w:val="00E91C94"/>
    <w:rsid w:val="00E92EC5"/>
    <w:rsid w:val="00ED7F4B"/>
    <w:rsid w:val="00EE7160"/>
    <w:rsid w:val="00F1478E"/>
    <w:rsid w:val="00F5353C"/>
    <w:rsid w:val="00F83940"/>
    <w:rsid w:val="00FA029A"/>
    <w:rsid w:val="00FB4B57"/>
    <w:rsid w:val="00FD0867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2B55A"/>
  <w15:docId w15:val="{12F8A278-C6C8-4C3A-8ADD-4A86959F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CF1"/>
  </w:style>
  <w:style w:type="paragraph" w:styleId="Pidipagina">
    <w:name w:val="footer"/>
    <w:basedOn w:val="Normale"/>
    <w:link w:val="PidipaginaCarattere"/>
    <w:uiPriority w:val="99"/>
    <w:unhideWhenUsed/>
    <w:rsid w:val="001F3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CF1"/>
  </w:style>
  <w:style w:type="character" w:styleId="Collegamentoipertestuale">
    <w:name w:val="Hyperlink"/>
    <w:basedOn w:val="Carpredefinitoparagrafo"/>
    <w:uiPriority w:val="99"/>
    <w:unhideWhenUsed/>
    <w:rsid w:val="001F3CF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064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91C9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91C94"/>
    <w:rPr>
      <w:rFonts w:ascii="Calibri" w:hAnsi="Calibri"/>
      <w:szCs w:val="21"/>
    </w:rPr>
  </w:style>
  <w:style w:type="table" w:styleId="Grigliatabella">
    <w:name w:val="Table Grid"/>
    <w:basedOn w:val="Tabellanormale"/>
    <w:uiPriority w:val="39"/>
    <w:rsid w:val="0055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76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76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7674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DDE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D63CC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758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758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758F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5C1C98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1E19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19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19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19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19D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2B57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886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161">
          <w:marLeft w:val="45"/>
          <w:marRight w:val="0"/>
          <w:marTop w:val="30"/>
          <w:marBottom w:val="0"/>
          <w:divBdr>
            <w:top w:val="single" w:sz="6" w:space="4" w:color="C3C4BD"/>
            <w:left w:val="single" w:sz="6" w:space="5" w:color="C3C4BD"/>
            <w:bottom w:val="single" w:sz="6" w:space="4" w:color="C3C4BD"/>
            <w:right w:val="single" w:sz="6" w:space="4" w:color="C3C4BD"/>
          </w:divBdr>
        </w:div>
      </w:divsChild>
    </w:div>
    <w:div w:id="2088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9814">
          <w:marLeft w:val="45"/>
          <w:marRight w:val="0"/>
          <w:marTop w:val="30"/>
          <w:marBottom w:val="0"/>
          <w:divBdr>
            <w:top w:val="single" w:sz="6" w:space="4" w:color="C3C4BD"/>
            <w:left w:val="single" w:sz="6" w:space="5" w:color="C3C4BD"/>
            <w:bottom w:val="single" w:sz="6" w:space="4" w:color="C3C4BD"/>
            <w:right w:val="single" w:sz="6" w:space="4" w:color="C3C4B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@noesi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unimib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ria.riccobono@noesi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anta.iannoni@noesi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3929-CAC0-43B7-BAFC-AE302020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 Iannoni</dc:creator>
  <cp:lastModifiedBy>Valeria Riccobono</cp:lastModifiedBy>
  <cp:revision>8</cp:revision>
  <dcterms:created xsi:type="dcterms:W3CDTF">2020-05-11T16:22:00Z</dcterms:created>
  <dcterms:modified xsi:type="dcterms:W3CDTF">2020-05-15T08:46:00Z</dcterms:modified>
</cp:coreProperties>
</file>